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02380" w14:textId="0DC95878" w:rsidR="00561F8E" w:rsidRDefault="00561F8E" w:rsidP="00055D01">
      <w:pPr>
        <w:pStyle w:val="Heading1"/>
      </w:pPr>
      <w:r>
        <w:rPr>
          <w:noProof/>
        </w:rPr>
        <w:drawing>
          <wp:anchor distT="0" distB="0" distL="114300" distR="114300" simplePos="0" relativeHeight="251658240" behindDoc="0" locked="0" layoutInCell="1" allowOverlap="1" wp14:anchorId="59C69A13" wp14:editId="0053B203">
            <wp:simplePos x="0" y="0"/>
            <wp:positionH relativeFrom="margin">
              <wp:align>left</wp:align>
            </wp:positionH>
            <wp:positionV relativeFrom="paragraph">
              <wp:posOffset>-510696</wp:posOffset>
            </wp:positionV>
            <wp:extent cx="2222662" cy="767751"/>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2662" cy="7677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BFBE1A" w14:textId="64AF06DA" w:rsidR="00055D01" w:rsidRDefault="00055D01" w:rsidP="00055D01">
      <w:pPr>
        <w:pStyle w:val="Heading1"/>
      </w:pPr>
      <w:r>
        <w:t xml:space="preserve">Response to </w:t>
      </w:r>
      <w:r w:rsidR="00507141">
        <w:t xml:space="preserve">National Transport Authority Greater Dublin Area </w:t>
      </w:r>
      <w:r w:rsidR="0059712B">
        <w:t xml:space="preserve">Transport Strategy </w:t>
      </w:r>
      <w:r w:rsidR="002A6543">
        <w:t>2022–2042 Consultation</w:t>
      </w:r>
    </w:p>
    <w:p w14:paraId="2D7E8666" w14:textId="7CBD0DD2" w:rsidR="00055D01" w:rsidRDefault="0059712B">
      <w:r>
        <w:t xml:space="preserve">Date: </w:t>
      </w:r>
      <w:r w:rsidR="00C8438F">
        <w:t>7</w:t>
      </w:r>
      <w:r w:rsidR="00053808" w:rsidRPr="00053808">
        <w:rPr>
          <w:vertAlign w:val="superscript"/>
        </w:rPr>
        <w:t>th</w:t>
      </w:r>
      <w:r w:rsidR="00053808">
        <w:t xml:space="preserve"> </w:t>
      </w:r>
      <w:r w:rsidR="00F920E8">
        <w:t xml:space="preserve">January </w:t>
      </w:r>
      <w:r w:rsidR="00053808">
        <w:t>202</w:t>
      </w:r>
      <w:r w:rsidR="00F920E8">
        <w:t>2</w:t>
      </w:r>
    </w:p>
    <w:p w14:paraId="16F9EE38" w14:textId="543A4670" w:rsidR="00453AC1" w:rsidRDefault="00453AC1" w:rsidP="008F6C0A">
      <w:pPr>
        <w:pStyle w:val="Heading3"/>
      </w:pPr>
      <w:r>
        <w:t>Summary</w:t>
      </w:r>
      <w:r w:rsidR="001A1CA9">
        <w:t xml:space="preserve">  </w:t>
      </w:r>
    </w:p>
    <w:p w14:paraId="50667980" w14:textId="51FEF998" w:rsidR="00453AC1" w:rsidRDefault="001512B6" w:rsidP="001512B6">
      <w:r>
        <w:t>The NTA GDA Transport Strategy is a wide-ranging, progressive strategy which Trinity welcomes</w:t>
      </w:r>
      <w:r w:rsidR="00EE710B">
        <w:t xml:space="preserve">.  We thank the NTA for their work and make a number of comments summarised below. </w:t>
      </w:r>
    </w:p>
    <w:p w14:paraId="278FA623" w14:textId="6F632077" w:rsidR="001C061A" w:rsidRDefault="001C061A" w:rsidP="001C061A">
      <w:pPr>
        <w:pStyle w:val="ListParagraph"/>
        <w:numPr>
          <w:ilvl w:val="0"/>
          <w:numId w:val="9"/>
        </w:numPr>
      </w:pPr>
      <w:r>
        <w:t xml:space="preserve">Trinity would like this action plan to be implemented as a matter of urgency given the current biodiversity and climate crisis.  </w:t>
      </w:r>
    </w:p>
    <w:p w14:paraId="48E16EC4" w14:textId="662B67E9" w:rsidR="00D6738D" w:rsidRDefault="00D6738D" w:rsidP="00D6738D">
      <w:pPr>
        <w:pStyle w:val="ListParagraph"/>
        <w:numPr>
          <w:ilvl w:val="0"/>
          <w:numId w:val="9"/>
        </w:numPr>
      </w:pPr>
      <w:r>
        <w:t xml:space="preserve">Trinity is frustrated at the delays in big transport projects to date e.g. Metro Link and light rail extensions.  </w:t>
      </w:r>
    </w:p>
    <w:p w14:paraId="2462F8C8" w14:textId="2A234EB8" w:rsidR="00453AC1" w:rsidRDefault="00E51C6E" w:rsidP="006579E0">
      <w:pPr>
        <w:pStyle w:val="ListParagraph"/>
        <w:numPr>
          <w:ilvl w:val="0"/>
          <w:numId w:val="9"/>
        </w:numPr>
      </w:pPr>
      <w:r>
        <w:t xml:space="preserve">Trinity has responded to the Strategy with a focus on the </w:t>
      </w:r>
      <w:hyperlink r:id="rId9" w:history="1">
        <w:r w:rsidRPr="005C0B51">
          <w:rPr>
            <w:rStyle w:val="Hyperlink"/>
          </w:rPr>
          <w:t>four priority routes</w:t>
        </w:r>
      </w:hyperlink>
      <w:r>
        <w:t xml:space="preserve"> between our campuses: </w:t>
      </w:r>
      <w:r w:rsidR="00C7405A" w:rsidRPr="006579E0">
        <w:rPr>
          <w:lang w:val="en-GB"/>
        </w:rPr>
        <w:t xml:space="preserve">Trinity Hall to College Green, on Pearse Street, on Nassau Street and from College Green to St. James’s Hospital.  </w:t>
      </w:r>
      <w:r w:rsidR="0054329F" w:rsidRPr="006579E0">
        <w:rPr>
          <w:lang w:val="en-GB"/>
        </w:rPr>
        <w:t xml:space="preserve">Other routes of importance to Trinity include </w:t>
      </w:r>
      <w:r w:rsidR="003F3839" w:rsidRPr="006579E0">
        <w:rPr>
          <w:lang w:val="en-GB"/>
        </w:rPr>
        <w:t xml:space="preserve">College Green to Santry and College Green to Iveagh </w:t>
      </w:r>
      <w:r w:rsidR="00314F6F" w:rsidRPr="006579E0">
        <w:rPr>
          <w:lang w:val="en-GB"/>
        </w:rPr>
        <w:t>Grounds</w:t>
      </w:r>
      <w:r w:rsidR="003F3839" w:rsidRPr="006579E0">
        <w:rPr>
          <w:lang w:val="en-GB"/>
        </w:rPr>
        <w:t xml:space="preserve">.  </w:t>
      </w:r>
    </w:p>
    <w:p w14:paraId="752A2752" w14:textId="744C7383" w:rsidR="00453AC1" w:rsidRDefault="006841FB" w:rsidP="006579E0">
      <w:pPr>
        <w:pStyle w:val="ListParagraph"/>
        <w:numPr>
          <w:ilvl w:val="0"/>
          <w:numId w:val="9"/>
        </w:numPr>
      </w:pPr>
      <w:r>
        <w:t xml:space="preserve">Trinity would like </w:t>
      </w:r>
      <w:r w:rsidR="000224BE">
        <w:t xml:space="preserve">more </w:t>
      </w:r>
      <w:r>
        <w:t>focus on civic spaces, particularly College Green</w:t>
      </w:r>
      <w:r w:rsidR="00B25A88">
        <w:t xml:space="preserve">, and </w:t>
      </w:r>
      <w:r w:rsidR="00F820A2">
        <w:t>would like</w:t>
      </w:r>
      <w:r w:rsidR="00B25A88">
        <w:t xml:space="preserve"> biodiversity</w:t>
      </w:r>
      <w:r w:rsidR="00F820A2">
        <w:t xml:space="preserve"> to be considered in all changes</w:t>
      </w:r>
      <w:r w:rsidR="00D0281D">
        <w:t xml:space="preserve"> to the built environment</w:t>
      </w:r>
      <w:r w:rsidR="00B25A88">
        <w:t xml:space="preserve">.  </w:t>
      </w:r>
    </w:p>
    <w:p w14:paraId="5D28A39A" w14:textId="74FC424E" w:rsidR="00A24DA4" w:rsidRPr="00763510" w:rsidRDefault="00B82D44" w:rsidP="00A26066">
      <w:pPr>
        <w:pStyle w:val="ListParagraph"/>
        <w:numPr>
          <w:ilvl w:val="0"/>
          <w:numId w:val="9"/>
        </w:numPr>
      </w:pPr>
      <w:r w:rsidRPr="006579E0">
        <w:rPr>
          <w:lang w:val="en-GB"/>
        </w:rPr>
        <w:t xml:space="preserve">The Healthy Ireland Framework is an all of government initiative that sets goals across all departments.  Given how important transport is, could a similar approach be taken for this strategy?  Trinity is concerned that delivering the strategy will be delayed by lack of political support.  </w:t>
      </w:r>
    </w:p>
    <w:p w14:paraId="0C88B0B0" w14:textId="152DDF92" w:rsidR="00763510" w:rsidRPr="000F215C" w:rsidRDefault="00763510" w:rsidP="00A26066">
      <w:pPr>
        <w:pStyle w:val="ListParagraph"/>
        <w:numPr>
          <w:ilvl w:val="0"/>
          <w:numId w:val="9"/>
        </w:numPr>
      </w:pPr>
      <w:r>
        <w:rPr>
          <w:lang w:val="en-GB"/>
        </w:rPr>
        <w:t xml:space="preserve">Trinity is pleased to see the Strategy state that car-centric urban environments have a disproportionately adverse impact on </w:t>
      </w:r>
      <w:r w:rsidR="00112E1C">
        <w:rPr>
          <w:lang w:val="en-GB"/>
        </w:rPr>
        <w:t>certain groups.  Trinity would like children added to the list of groups</w:t>
      </w:r>
      <w:r w:rsidR="0093318C">
        <w:rPr>
          <w:lang w:val="en-GB"/>
        </w:rPr>
        <w:t xml:space="preserve"> adversely affected</w:t>
      </w:r>
      <w:r w:rsidR="00112E1C">
        <w:rPr>
          <w:lang w:val="en-GB"/>
        </w:rPr>
        <w:t xml:space="preserve">.  Trinity would </w:t>
      </w:r>
      <w:r w:rsidR="0093318C">
        <w:rPr>
          <w:lang w:val="en-GB"/>
        </w:rPr>
        <w:t xml:space="preserve">also </w:t>
      </w:r>
      <w:r w:rsidR="00112E1C">
        <w:rPr>
          <w:lang w:val="en-GB"/>
        </w:rPr>
        <w:t xml:space="preserve">like wording that states cars will no longer be permitted to dominate the urban environment. </w:t>
      </w:r>
      <w:r>
        <w:rPr>
          <w:lang w:val="en-GB"/>
        </w:rPr>
        <w:t xml:space="preserve"> </w:t>
      </w:r>
    </w:p>
    <w:p w14:paraId="4F62DD18" w14:textId="7749191D" w:rsidR="00517557" w:rsidRDefault="001503ED" w:rsidP="00171163">
      <w:pPr>
        <w:pStyle w:val="ListParagraph"/>
        <w:numPr>
          <w:ilvl w:val="0"/>
          <w:numId w:val="9"/>
        </w:numPr>
      </w:pPr>
      <w:r>
        <w:t xml:space="preserve">Trinity </w:t>
      </w:r>
      <w:r w:rsidR="003C0A52">
        <w:t xml:space="preserve">is disappointed by </w:t>
      </w:r>
      <w:r w:rsidR="00E870AF">
        <w:t xml:space="preserve">the lack of detail on cycling and </w:t>
      </w:r>
      <w:r>
        <w:t xml:space="preserve">would like the NTA to consider the recent EU </w:t>
      </w:r>
      <w:r w:rsidR="003B33BC">
        <w:t>Commission d</w:t>
      </w:r>
      <w:r>
        <w:t xml:space="preserve">ecision </w:t>
      </w:r>
      <w:r w:rsidR="00704AF5">
        <w:t xml:space="preserve">which recognises cycling </w:t>
      </w:r>
      <w:r w:rsidR="003B33BC">
        <w:t xml:space="preserve">as well as other active modes as a priority for </w:t>
      </w:r>
      <w:r w:rsidR="00704AF5">
        <w:t xml:space="preserve">moving people in cities/towns.  </w:t>
      </w:r>
    </w:p>
    <w:p w14:paraId="25AC8CAB" w14:textId="62A42D18" w:rsidR="00453AC1" w:rsidRDefault="00D0762B" w:rsidP="00171163">
      <w:pPr>
        <w:pStyle w:val="Heading2"/>
      </w:pPr>
      <w:r>
        <w:t xml:space="preserve">General points: </w:t>
      </w:r>
    </w:p>
    <w:p w14:paraId="6BF9BA5D" w14:textId="3A929629" w:rsidR="00D0762B" w:rsidRPr="00E26442" w:rsidRDefault="00E26442" w:rsidP="00E26442">
      <w:pPr>
        <w:pStyle w:val="ListParagraph"/>
        <w:numPr>
          <w:ilvl w:val="0"/>
          <w:numId w:val="10"/>
        </w:numPr>
        <w:spacing w:after="0" w:line="240" w:lineRule="auto"/>
        <w:rPr>
          <w:lang w:val="en-GB"/>
        </w:rPr>
      </w:pPr>
      <w:r>
        <w:rPr>
          <w:b/>
          <w:bCs/>
          <w:lang w:val="en-GB"/>
        </w:rPr>
        <w:t xml:space="preserve">Engagement: </w:t>
      </w:r>
      <w:r w:rsidRPr="00E26442">
        <w:rPr>
          <w:lang w:val="en-GB"/>
        </w:rPr>
        <w:t>Trinity</w:t>
      </w:r>
      <w:r>
        <w:rPr>
          <w:b/>
          <w:bCs/>
          <w:lang w:val="en-GB"/>
        </w:rPr>
        <w:t xml:space="preserve"> </w:t>
      </w:r>
      <w:r>
        <w:rPr>
          <w:lang w:val="en-GB"/>
        </w:rPr>
        <w:t xml:space="preserve">feels the </w:t>
      </w:r>
      <w:r w:rsidR="00D0762B" w:rsidRPr="00F920E8">
        <w:rPr>
          <w:lang w:val="en-GB"/>
        </w:rPr>
        <w:t xml:space="preserve">public is missing from </w:t>
      </w:r>
      <w:r>
        <w:rPr>
          <w:lang w:val="en-GB"/>
        </w:rPr>
        <w:t xml:space="preserve">the </w:t>
      </w:r>
      <w:r w:rsidR="00D0762B" w:rsidRPr="00F920E8">
        <w:rPr>
          <w:lang w:val="en-GB"/>
        </w:rPr>
        <w:t>Plan</w:t>
      </w:r>
      <w:r w:rsidR="001D4D96">
        <w:rPr>
          <w:lang w:val="en-GB"/>
        </w:rPr>
        <w:t xml:space="preserve">.  </w:t>
      </w:r>
      <w:r w:rsidR="001D4D96" w:rsidRPr="00E26442">
        <w:rPr>
          <w:lang w:val="en-GB"/>
        </w:rPr>
        <w:t>O</w:t>
      </w:r>
      <w:r w:rsidR="00D0762B" w:rsidRPr="00E26442">
        <w:rPr>
          <w:lang w:val="en-GB"/>
        </w:rPr>
        <w:t>pportunities to reimagine the built environment and be partners in change</w:t>
      </w:r>
      <w:r w:rsidR="00292023">
        <w:rPr>
          <w:lang w:val="en-GB"/>
        </w:rPr>
        <w:t xml:space="preserve"> should be increased</w:t>
      </w:r>
      <w:r w:rsidR="00D0762B" w:rsidRPr="00E26442">
        <w:rPr>
          <w:lang w:val="en-GB"/>
        </w:rPr>
        <w:t>. This sort of ongoing capacity building is important for inspiring and sustaining change.   </w:t>
      </w:r>
    </w:p>
    <w:p w14:paraId="5DD8E959" w14:textId="044167D1" w:rsidR="00D0762B" w:rsidRPr="00F920E8" w:rsidRDefault="00D0762B" w:rsidP="00F920E8">
      <w:pPr>
        <w:pStyle w:val="ListParagraph"/>
        <w:numPr>
          <w:ilvl w:val="0"/>
          <w:numId w:val="10"/>
        </w:numPr>
        <w:spacing w:after="0" w:line="240" w:lineRule="auto"/>
        <w:rPr>
          <w:lang w:val="en-GB"/>
        </w:rPr>
      </w:pPr>
      <w:r w:rsidRPr="00F920E8">
        <w:rPr>
          <w:b/>
          <w:bCs/>
          <w:lang w:val="en-GB"/>
        </w:rPr>
        <w:t>Editing:</w:t>
      </w:r>
      <w:r w:rsidRPr="00F920E8">
        <w:rPr>
          <w:lang w:val="en-GB"/>
        </w:rPr>
        <w:t xml:space="preserve"> While a minor thing, the section numbering in the Executive Summary is different from the section numbering within the main Strategy (e.g. Section 7 in the Executive Strategy is actually Section 8 in the Strategy).</w:t>
      </w:r>
    </w:p>
    <w:p w14:paraId="5C387798" w14:textId="0CD613DB" w:rsidR="00536272" w:rsidRPr="00F920E8" w:rsidRDefault="00536272" w:rsidP="00F920E8">
      <w:pPr>
        <w:pStyle w:val="ListParagraph"/>
        <w:numPr>
          <w:ilvl w:val="0"/>
          <w:numId w:val="10"/>
        </w:numPr>
        <w:spacing w:after="0" w:line="240" w:lineRule="auto"/>
        <w:rPr>
          <w:lang w:val="en-GB"/>
        </w:rPr>
      </w:pPr>
      <w:r w:rsidRPr="00F920E8">
        <w:rPr>
          <w:b/>
          <w:bCs/>
          <w:lang w:val="en-GB"/>
        </w:rPr>
        <w:t>The consultation process:</w:t>
      </w:r>
      <w:r w:rsidRPr="00F920E8">
        <w:rPr>
          <w:lang w:val="en-GB"/>
        </w:rPr>
        <w:t xml:space="preserve"> </w:t>
      </w:r>
      <w:r w:rsidR="00F05751" w:rsidRPr="00F920E8">
        <w:rPr>
          <w:lang w:val="en-GB"/>
        </w:rPr>
        <w:t xml:space="preserve">The consultation platform restricts submissions to chapters.  A facility to give general comments is needed.  </w:t>
      </w:r>
    </w:p>
    <w:p w14:paraId="65AE5159" w14:textId="77777777" w:rsidR="00D0762B" w:rsidRDefault="00D0762B" w:rsidP="00A26066"/>
    <w:p w14:paraId="0086FDF9" w14:textId="0F99E46D" w:rsidR="00376BC2" w:rsidRDefault="00C03BD1" w:rsidP="00C03BD1">
      <w:pPr>
        <w:pStyle w:val="Heading2"/>
      </w:pPr>
      <w:r>
        <w:t xml:space="preserve">Trinity’s Feedback on </w:t>
      </w:r>
      <w:r w:rsidR="00AA7C5C">
        <w:t>the Strategy</w:t>
      </w:r>
    </w:p>
    <w:p w14:paraId="69D8439D" w14:textId="3FC62583" w:rsidR="00B937E5" w:rsidRDefault="00AA7C5C" w:rsidP="004526F2">
      <w:pPr>
        <w:pStyle w:val="Heading3"/>
      </w:pPr>
      <w:r>
        <w:t xml:space="preserve">Chapter 8: </w:t>
      </w:r>
      <w:r w:rsidR="00CC2CCA">
        <w:t>Planning for Sustainable Transport</w:t>
      </w:r>
    </w:p>
    <w:p w14:paraId="592D161A" w14:textId="1C90092E" w:rsidR="004C15E9" w:rsidRPr="003B7FC8" w:rsidRDefault="00C030CB" w:rsidP="00F2792A">
      <w:pPr>
        <w:pStyle w:val="ListParagraph"/>
        <w:numPr>
          <w:ilvl w:val="0"/>
          <w:numId w:val="4"/>
        </w:numPr>
        <w:autoSpaceDE w:val="0"/>
        <w:autoSpaceDN w:val="0"/>
        <w:adjustRightInd w:val="0"/>
        <w:rPr>
          <w:rFonts w:ascii="Calibri" w:hAnsi="Calibri" w:cs="Calibri"/>
          <w:b/>
          <w:bCs/>
        </w:rPr>
      </w:pPr>
      <w:r w:rsidRPr="00C030CB">
        <w:rPr>
          <w:rFonts w:ascii="Calibri" w:hAnsi="Calibri" w:cs="Calibri"/>
          <w:b/>
          <w:bCs/>
        </w:rPr>
        <w:t>8.1 Introduction</w:t>
      </w:r>
      <w:r>
        <w:rPr>
          <w:rFonts w:ascii="Calibri" w:hAnsi="Calibri" w:cs="Calibri"/>
          <w:b/>
          <w:bCs/>
        </w:rPr>
        <w:t xml:space="preserve">: </w:t>
      </w:r>
      <w:r w:rsidRPr="00C030CB">
        <w:rPr>
          <w:rFonts w:ascii="Calibri" w:hAnsi="Calibri" w:cs="Calibri"/>
        </w:rPr>
        <w:t xml:space="preserve">The consequences of our </w:t>
      </w:r>
      <w:r w:rsidRPr="00C030CB">
        <w:rPr>
          <w:rFonts w:ascii="Calibri" w:hAnsi="Calibri" w:cs="Calibri"/>
          <w:lang w:val="en-GB"/>
        </w:rPr>
        <w:t>overly car-dependent city-region</w:t>
      </w:r>
      <w:r w:rsidRPr="00C030CB">
        <w:rPr>
          <w:rFonts w:ascii="Calibri" w:hAnsi="Calibri" w:cs="Calibri"/>
        </w:rPr>
        <w:t xml:space="preserve"> include:</w:t>
      </w:r>
      <w:r>
        <w:rPr>
          <w:rFonts w:ascii="Calibri" w:hAnsi="Calibri" w:cs="Calibri"/>
        </w:rPr>
        <w:t xml:space="preserve"> </w:t>
      </w:r>
      <w:r w:rsidRPr="00C030CB">
        <w:rPr>
          <w:rFonts w:ascii="Calibri" w:hAnsi="Calibri" w:cs="Calibri"/>
        </w:rPr>
        <w:t xml:space="preserve">air pollution </w:t>
      </w:r>
      <w:r w:rsidRPr="0093318C">
        <w:rPr>
          <w:rFonts w:ascii="Calibri" w:hAnsi="Calibri" w:cs="Calibri"/>
          <w:i/>
          <w:iCs/>
          <w:color w:val="FF0000"/>
        </w:rPr>
        <w:t>and associated ill-health</w:t>
      </w:r>
      <w:r>
        <w:rPr>
          <w:rFonts w:ascii="Calibri" w:hAnsi="Calibri" w:cs="Calibri"/>
          <w:b/>
          <w:bCs/>
          <w:color w:val="FF0000"/>
        </w:rPr>
        <w:t xml:space="preserve"> </w:t>
      </w:r>
      <w:r w:rsidRPr="00C030CB">
        <w:rPr>
          <w:rFonts w:ascii="Calibri" w:hAnsi="Calibri" w:cs="Calibri"/>
        </w:rPr>
        <w:t xml:space="preserve">poor and </w:t>
      </w:r>
      <w:r w:rsidRPr="0093318C">
        <w:rPr>
          <w:rFonts w:ascii="Calibri" w:hAnsi="Calibri" w:cs="Calibri"/>
          <w:i/>
          <w:iCs/>
          <w:color w:val="FF0000"/>
        </w:rPr>
        <w:t>dangerous</w:t>
      </w:r>
      <w:r w:rsidRPr="00C030CB">
        <w:rPr>
          <w:rFonts w:ascii="Calibri" w:hAnsi="Calibri" w:cs="Calibri"/>
          <w:color w:val="FF0000"/>
        </w:rPr>
        <w:t xml:space="preserve"> </w:t>
      </w:r>
      <w:r w:rsidRPr="00C030CB">
        <w:rPr>
          <w:rFonts w:ascii="Calibri" w:hAnsi="Calibri" w:cs="Calibri"/>
        </w:rPr>
        <w:t>walking and cycling environments</w:t>
      </w:r>
      <w:r>
        <w:rPr>
          <w:rFonts w:ascii="Calibri" w:hAnsi="Calibri" w:cs="Calibri"/>
        </w:rPr>
        <w:t xml:space="preserve">.  </w:t>
      </w:r>
      <w:r w:rsidRPr="00C030CB">
        <w:rPr>
          <w:rFonts w:ascii="Calibri" w:hAnsi="Calibri" w:cs="Calibri"/>
        </w:rPr>
        <w:t xml:space="preserve">All of </w:t>
      </w:r>
      <w:r w:rsidRPr="00C030CB">
        <w:rPr>
          <w:rFonts w:ascii="Calibri" w:hAnsi="Calibri" w:cs="Calibri"/>
        </w:rPr>
        <w:lastRenderedPageBreak/>
        <w:t>the consequences listed act as disincentives to active travel and public transport use, and exacerbate car dependence - a statement to this effect would be welcome.</w:t>
      </w:r>
    </w:p>
    <w:p w14:paraId="2C05FF72" w14:textId="3AD6B010" w:rsidR="007F025A" w:rsidRDefault="00CB4197" w:rsidP="000E040C">
      <w:pPr>
        <w:pStyle w:val="ListParagraph"/>
        <w:numPr>
          <w:ilvl w:val="0"/>
          <w:numId w:val="4"/>
        </w:numPr>
        <w:rPr>
          <w:lang w:val="en-GB"/>
        </w:rPr>
      </w:pPr>
      <w:r w:rsidRPr="00496FA4">
        <w:rPr>
          <w:b/>
          <w:bCs/>
          <w:lang w:val="en-GB"/>
        </w:rPr>
        <w:t xml:space="preserve">8.2 Emerging concepts in transport: </w:t>
      </w:r>
      <w:r>
        <w:rPr>
          <w:lang w:val="en-GB"/>
        </w:rPr>
        <w:t>T</w:t>
      </w:r>
      <w:r w:rsidR="007F025A" w:rsidRPr="000E040C">
        <w:rPr>
          <w:lang w:val="en-GB"/>
        </w:rPr>
        <w:t>rinity welcomes the NTA focus on 15 minute citie</w:t>
      </w:r>
      <w:r w:rsidR="000E040C" w:rsidRPr="000E040C">
        <w:rPr>
          <w:lang w:val="en-GB"/>
        </w:rPr>
        <w:t xml:space="preserve">s and 10 minute neighbourhoods.  </w:t>
      </w:r>
    </w:p>
    <w:p w14:paraId="265BCB58" w14:textId="77777777" w:rsidR="007A48B4" w:rsidRDefault="00CB4197" w:rsidP="007A48B4">
      <w:pPr>
        <w:pStyle w:val="ListParagraph"/>
        <w:numPr>
          <w:ilvl w:val="0"/>
          <w:numId w:val="4"/>
        </w:numPr>
        <w:rPr>
          <w:lang w:val="en-GB"/>
        </w:rPr>
      </w:pPr>
      <w:r w:rsidRPr="00496FA4">
        <w:rPr>
          <w:b/>
          <w:bCs/>
          <w:lang w:val="en-GB"/>
        </w:rPr>
        <w:t>8.3 Sustainable Delivery of Housing:</w:t>
      </w:r>
      <w:r>
        <w:rPr>
          <w:lang w:val="en-GB"/>
        </w:rPr>
        <w:t xml:space="preserve"> </w:t>
      </w:r>
      <w:r w:rsidR="007E529D">
        <w:rPr>
          <w:lang w:val="en-GB"/>
        </w:rPr>
        <w:t>Trinity thanks the NTA for their focus on transport planning with housing, and supports the NTA</w:t>
      </w:r>
      <w:r w:rsidR="00F345A4">
        <w:rPr>
          <w:lang w:val="en-GB"/>
        </w:rPr>
        <w:t>’s</w:t>
      </w:r>
      <w:r w:rsidR="007E529D">
        <w:rPr>
          <w:lang w:val="en-GB"/>
        </w:rPr>
        <w:t xml:space="preserve"> </w:t>
      </w:r>
      <w:r w:rsidR="00F345A4">
        <w:rPr>
          <w:lang w:val="en-GB"/>
        </w:rPr>
        <w:t>priori</w:t>
      </w:r>
      <w:r w:rsidR="00FE3D6D">
        <w:rPr>
          <w:lang w:val="en-GB"/>
        </w:rPr>
        <w:t>tisat</w:t>
      </w:r>
      <w:r w:rsidR="00F345A4">
        <w:rPr>
          <w:lang w:val="en-GB"/>
        </w:rPr>
        <w:t xml:space="preserve">ion of </w:t>
      </w:r>
      <w:r w:rsidR="007E529D">
        <w:rPr>
          <w:lang w:val="en-GB"/>
        </w:rPr>
        <w:t>walking, cycling and public transport</w:t>
      </w:r>
      <w:r w:rsidR="00F345A4">
        <w:rPr>
          <w:lang w:val="en-GB"/>
        </w:rPr>
        <w:t>.  This is of particular importance to Trinity students who need affordable housing, in liveable areas</w:t>
      </w:r>
      <w:r w:rsidR="00FE3D6D">
        <w:rPr>
          <w:lang w:val="en-GB"/>
        </w:rPr>
        <w:t>.  We would welcome the allocation of space to walking, cycling and public transport over cars in particular where students live.</w:t>
      </w:r>
      <w:r w:rsidR="001D123B">
        <w:rPr>
          <w:lang w:val="en-GB"/>
        </w:rPr>
        <w:t xml:space="preserve">  Cycling infrastructure should be protected</w:t>
      </w:r>
      <w:r w:rsidR="00E51C6E">
        <w:rPr>
          <w:lang w:val="en-GB"/>
        </w:rPr>
        <w:t xml:space="preserve"> from traffic</w:t>
      </w:r>
      <w:r w:rsidR="001D123B">
        <w:rPr>
          <w:lang w:val="en-GB"/>
        </w:rPr>
        <w:t xml:space="preserve">. </w:t>
      </w:r>
    </w:p>
    <w:p w14:paraId="253D847D" w14:textId="77777777" w:rsidR="008F66E7" w:rsidRDefault="008F66E7" w:rsidP="008F66E7">
      <w:pPr>
        <w:pStyle w:val="ListParagraph"/>
        <w:ind w:left="360"/>
        <w:rPr>
          <w:lang w:val="en-GB"/>
        </w:rPr>
      </w:pPr>
      <w:r>
        <w:rPr>
          <w:b/>
          <w:bCs/>
          <w:lang w:val="en-GB"/>
        </w:rPr>
        <w:t>Measure Plan1</w:t>
      </w:r>
      <w:r w:rsidR="007A48B4">
        <w:rPr>
          <w:b/>
          <w:bCs/>
          <w:lang w:val="en-GB"/>
        </w:rPr>
        <w:t xml:space="preserve"> </w:t>
      </w:r>
      <w:r w:rsidR="007A48B4" w:rsidRPr="007A48B4">
        <w:rPr>
          <w:lang w:val="en-GB"/>
        </w:rPr>
        <w:t>“SDZ Planning Schemes, Local Area Plans and large planning applications should be accompanied by appropriate Transport Plans or Transport Assessments setting out how the plan or development minimises the need to travel and how public transport, walking and cycling together can cater for the majority of travel demand.”</w:t>
      </w:r>
    </w:p>
    <w:p w14:paraId="4931D0A3" w14:textId="77777777" w:rsidR="008F66E7" w:rsidRDefault="008F66E7" w:rsidP="008F66E7">
      <w:pPr>
        <w:pStyle w:val="ListParagraph"/>
        <w:ind w:left="360"/>
        <w:rPr>
          <w:lang w:val="en-GB"/>
        </w:rPr>
      </w:pPr>
    </w:p>
    <w:p w14:paraId="4541E843" w14:textId="77777777" w:rsidR="00C762E1" w:rsidRDefault="007A48B4" w:rsidP="00C762E1">
      <w:pPr>
        <w:pStyle w:val="ListParagraph"/>
        <w:ind w:left="360"/>
        <w:rPr>
          <w:lang w:val="en-GB"/>
        </w:rPr>
      </w:pPr>
      <w:r>
        <w:rPr>
          <w:lang w:val="en-GB"/>
        </w:rPr>
        <w:t>This is a key issue, but too many developments are signed-off by Roads/Transport section of Planning Division in our City without follow-up on full implementation by the developer. We only have to look at recent Trinity major buildings (TBSI, Business School) to know that bike parking, as stipulated in grant of permit, was not implemented.</w:t>
      </w:r>
    </w:p>
    <w:p w14:paraId="791E5410" w14:textId="77777777" w:rsidR="00C762E1" w:rsidRDefault="00C762E1" w:rsidP="00C762E1">
      <w:pPr>
        <w:pStyle w:val="ListParagraph"/>
        <w:ind w:left="360"/>
        <w:rPr>
          <w:lang w:val="en-GB"/>
        </w:rPr>
      </w:pPr>
    </w:p>
    <w:p w14:paraId="419F71B5" w14:textId="77777777" w:rsidR="001E5FDB" w:rsidRDefault="00C762E1" w:rsidP="001E5FDB">
      <w:pPr>
        <w:pStyle w:val="ListParagraph"/>
        <w:ind w:left="360"/>
        <w:rPr>
          <w:lang w:val="en-GB"/>
        </w:rPr>
      </w:pPr>
      <w:r>
        <w:rPr>
          <w:b/>
          <w:bCs/>
          <w:lang w:val="en-GB"/>
        </w:rPr>
        <w:t>Measure PLAN14 – Reallocation of Road Space</w:t>
      </w:r>
      <w:r>
        <w:rPr>
          <w:lang w:val="en-GB"/>
        </w:rPr>
        <w:t>: “The NTA, in conjunction with the local authorities, will</w:t>
      </w:r>
      <w:r w:rsidR="001E5FDB">
        <w:rPr>
          <w:lang w:val="en-GB"/>
        </w:rPr>
        <w:t xml:space="preserve"> </w:t>
      </w:r>
      <w:r>
        <w:rPr>
          <w:lang w:val="en-GB"/>
        </w:rPr>
        <w:t>seek the reallocation of road space in Dublin City Centre,</w:t>
      </w:r>
      <w:r w:rsidR="001E5FDB">
        <w:rPr>
          <w:lang w:val="en-GB"/>
        </w:rPr>
        <w:t xml:space="preserve"> </w:t>
      </w:r>
      <w:r>
        <w:rPr>
          <w:lang w:val="en-GB"/>
        </w:rPr>
        <w:t>Metropolitan towns and villages, and towns and villages</w:t>
      </w:r>
      <w:r w:rsidR="001E5FDB">
        <w:rPr>
          <w:lang w:val="en-GB"/>
        </w:rPr>
        <w:t xml:space="preserve"> </w:t>
      </w:r>
      <w:r>
        <w:rPr>
          <w:lang w:val="en-GB"/>
        </w:rPr>
        <w:t>across the GDA to prioritise walking, cycling and public</w:t>
      </w:r>
      <w:r>
        <w:rPr>
          <w:lang w:val="en-GB"/>
        </w:rPr>
        <w:br/>
        <w:t>transport use and prioritise the placemaking functions of</w:t>
      </w:r>
      <w:r w:rsidR="001E5FDB">
        <w:rPr>
          <w:lang w:val="en-GB"/>
        </w:rPr>
        <w:t xml:space="preserve"> </w:t>
      </w:r>
      <w:r>
        <w:rPr>
          <w:lang w:val="en-GB"/>
        </w:rPr>
        <w:t>the urban street network.”</w:t>
      </w:r>
    </w:p>
    <w:p w14:paraId="71A958FE" w14:textId="77777777" w:rsidR="001E5FDB" w:rsidRDefault="001E5FDB" w:rsidP="001E5FDB">
      <w:pPr>
        <w:pStyle w:val="ListParagraph"/>
        <w:ind w:left="360"/>
        <w:rPr>
          <w:lang w:val="en-GB"/>
        </w:rPr>
      </w:pPr>
    </w:p>
    <w:p w14:paraId="3BBE98CD" w14:textId="46B5790D" w:rsidR="00C762E1" w:rsidRPr="001E5FDB" w:rsidRDefault="00C762E1" w:rsidP="001E5FDB">
      <w:pPr>
        <w:pStyle w:val="ListParagraph"/>
        <w:ind w:left="360"/>
        <w:rPr>
          <w:lang w:val="en-GB"/>
        </w:rPr>
      </w:pPr>
      <w:r>
        <w:rPr>
          <w:lang w:val="en-GB"/>
        </w:rPr>
        <w:t xml:space="preserve">This is very important to </w:t>
      </w:r>
      <w:r w:rsidR="001E5FDB">
        <w:rPr>
          <w:lang w:val="en-GB"/>
        </w:rPr>
        <w:t xml:space="preserve">Trinity.  We strongly </w:t>
      </w:r>
      <w:r>
        <w:rPr>
          <w:lang w:val="en-GB"/>
        </w:rPr>
        <w:t>endorse it.</w:t>
      </w:r>
    </w:p>
    <w:p w14:paraId="3BC21FEB" w14:textId="77777777" w:rsidR="007A48B4" w:rsidRDefault="007A48B4" w:rsidP="009B7601">
      <w:pPr>
        <w:pStyle w:val="ListParagraph"/>
        <w:ind w:left="360"/>
        <w:rPr>
          <w:lang w:val="en-GB"/>
        </w:rPr>
      </w:pPr>
    </w:p>
    <w:p w14:paraId="1F21E9D7" w14:textId="42CF236D" w:rsidR="00254DE8" w:rsidRDefault="003A1CBE" w:rsidP="00254DE8">
      <w:pPr>
        <w:pStyle w:val="ListParagraph"/>
        <w:numPr>
          <w:ilvl w:val="0"/>
          <w:numId w:val="4"/>
        </w:numPr>
        <w:rPr>
          <w:lang w:val="en-GB"/>
        </w:rPr>
      </w:pPr>
      <w:r w:rsidRPr="00496FA4">
        <w:rPr>
          <w:b/>
          <w:bCs/>
          <w:lang w:val="en-GB"/>
        </w:rPr>
        <w:t xml:space="preserve">8.4 </w:t>
      </w:r>
      <w:r w:rsidR="009F3C28" w:rsidRPr="00496FA4">
        <w:rPr>
          <w:b/>
          <w:bCs/>
          <w:lang w:val="en-GB"/>
        </w:rPr>
        <w:t>Consolidation of Development:</w:t>
      </w:r>
      <w:r w:rsidR="009F3C28">
        <w:rPr>
          <w:lang w:val="en-GB"/>
        </w:rPr>
        <w:t xml:space="preserve"> </w:t>
      </w:r>
      <w:r w:rsidR="000F5438">
        <w:rPr>
          <w:lang w:val="en-GB"/>
        </w:rPr>
        <w:t xml:space="preserve">Trinity welcomes the NTA’s position on out of town </w:t>
      </w:r>
      <w:r w:rsidR="00254DE8">
        <w:rPr>
          <w:lang w:val="en-GB"/>
        </w:rPr>
        <w:t xml:space="preserve">retail development.  </w:t>
      </w:r>
      <w:r w:rsidR="0026294F">
        <w:rPr>
          <w:lang w:val="en-GB"/>
        </w:rPr>
        <w:t>Trinity has</w:t>
      </w:r>
      <w:r w:rsidR="00254DE8">
        <w:rPr>
          <w:lang w:val="en-GB"/>
        </w:rPr>
        <w:t xml:space="preserve"> 1% car use</w:t>
      </w:r>
      <w:r w:rsidR="0026294F">
        <w:rPr>
          <w:lang w:val="en-GB"/>
        </w:rPr>
        <w:t>.  F</w:t>
      </w:r>
      <w:r w:rsidR="00254DE8">
        <w:rPr>
          <w:lang w:val="en-GB"/>
        </w:rPr>
        <w:t xml:space="preserve">or many students and staff, cars are not an affordable or accessible means of transport.  </w:t>
      </w:r>
      <w:r w:rsidR="00254DE8" w:rsidRPr="00254DE8">
        <w:rPr>
          <w:lang w:val="en-GB"/>
        </w:rPr>
        <w:t xml:space="preserve">Climate change is of huge concern to Trinity students and staff.  </w:t>
      </w:r>
      <w:r w:rsidR="00254DE8">
        <w:rPr>
          <w:lang w:val="en-GB"/>
        </w:rPr>
        <w:t xml:space="preserve">We thank the NTA for taking leadership on this issue.  </w:t>
      </w:r>
    </w:p>
    <w:p w14:paraId="40839A4A" w14:textId="15EFF7BF" w:rsidR="00C02FDF" w:rsidRDefault="009F3C28" w:rsidP="00254DE8">
      <w:pPr>
        <w:pStyle w:val="ListParagraph"/>
        <w:numPr>
          <w:ilvl w:val="0"/>
          <w:numId w:val="4"/>
        </w:numPr>
        <w:rPr>
          <w:lang w:val="en-GB"/>
        </w:rPr>
      </w:pPr>
      <w:r w:rsidRPr="00496FA4">
        <w:rPr>
          <w:b/>
          <w:bCs/>
          <w:lang w:val="en-GB"/>
        </w:rPr>
        <w:t>8.5 Transit Oriented Development:</w:t>
      </w:r>
      <w:r>
        <w:rPr>
          <w:lang w:val="en-GB"/>
        </w:rPr>
        <w:t xml:space="preserve"> </w:t>
      </w:r>
      <w:r w:rsidR="007C43D6">
        <w:rPr>
          <w:lang w:val="en-GB"/>
        </w:rPr>
        <w:t xml:space="preserve">The Biodiversity and Climate Crisis is also of major concern to Trinity students and staff.  Trinity </w:t>
      </w:r>
      <w:r w:rsidR="00795618">
        <w:rPr>
          <w:lang w:val="en-GB"/>
        </w:rPr>
        <w:t xml:space="preserve">asks that wherever possible, </w:t>
      </w:r>
      <w:r w:rsidR="00107A2A">
        <w:rPr>
          <w:lang w:val="en-GB"/>
        </w:rPr>
        <w:t xml:space="preserve">transport </w:t>
      </w:r>
      <w:r w:rsidR="00C7405A">
        <w:rPr>
          <w:lang w:val="en-GB"/>
        </w:rPr>
        <w:t xml:space="preserve">infrastructure </w:t>
      </w:r>
      <w:r w:rsidR="00107A2A">
        <w:rPr>
          <w:lang w:val="en-GB"/>
        </w:rPr>
        <w:t>supports biodiversity</w:t>
      </w:r>
      <w:r w:rsidR="0026294F">
        <w:rPr>
          <w:lang w:val="en-GB"/>
        </w:rPr>
        <w:t xml:space="preserve">.  </w:t>
      </w:r>
    </w:p>
    <w:p w14:paraId="2E2301C4" w14:textId="0A07FA97" w:rsidR="00644112" w:rsidRDefault="00A25117" w:rsidP="00644112">
      <w:pPr>
        <w:pStyle w:val="ListParagraph"/>
        <w:numPr>
          <w:ilvl w:val="0"/>
          <w:numId w:val="4"/>
        </w:numPr>
        <w:rPr>
          <w:lang w:val="en-GB"/>
        </w:rPr>
      </w:pPr>
      <w:r w:rsidRPr="00496FA4">
        <w:rPr>
          <w:b/>
          <w:bCs/>
          <w:lang w:val="en-GB"/>
        </w:rPr>
        <w:t>8.6 and 8.7:</w:t>
      </w:r>
      <w:r>
        <w:rPr>
          <w:lang w:val="en-GB"/>
        </w:rPr>
        <w:t xml:space="preserve"> </w:t>
      </w:r>
      <w:r w:rsidR="002D3F68">
        <w:rPr>
          <w:lang w:val="en-GB"/>
        </w:rPr>
        <w:t>Trinity welcomes the NTA’s focus on mixed use development and filtered permeability</w:t>
      </w:r>
    </w:p>
    <w:p w14:paraId="3218FE6A" w14:textId="12C0BE90" w:rsidR="00C02FDF" w:rsidRDefault="00067C85" w:rsidP="00644112">
      <w:pPr>
        <w:pStyle w:val="ListParagraph"/>
        <w:numPr>
          <w:ilvl w:val="0"/>
          <w:numId w:val="4"/>
        </w:numPr>
        <w:rPr>
          <w:lang w:val="en-GB"/>
        </w:rPr>
      </w:pPr>
      <w:r w:rsidRPr="00496FA4">
        <w:rPr>
          <w:b/>
          <w:bCs/>
          <w:lang w:val="en-GB"/>
        </w:rPr>
        <w:t>8.9 Urban design and placemaking:</w:t>
      </w:r>
      <w:r>
        <w:rPr>
          <w:lang w:val="en-GB"/>
        </w:rPr>
        <w:t xml:space="preserve"> </w:t>
      </w:r>
      <w:r w:rsidR="00644112">
        <w:rPr>
          <w:lang w:val="en-GB"/>
        </w:rPr>
        <w:t>The inclusion of placemaking is welcome</w:t>
      </w:r>
      <w:r w:rsidR="00F812D5">
        <w:rPr>
          <w:lang w:val="en-GB"/>
        </w:rPr>
        <w:t xml:space="preserve">. Trinity would particularly like to see a focus on placemaking </w:t>
      </w:r>
      <w:r w:rsidR="007B6230">
        <w:rPr>
          <w:lang w:val="en-GB"/>
        </w:rPr>
        <w:t>on</w:t>
      </w:r>
      <w:r w:rsidR="00F812D5">
        <w:rPr>
          <w:lang w:val="en-GB"/>
        </w:rPr>
        <w:t xml:space="preserve"> </w:t>
      </w:r>
      <w:r w:rsidR="00247EA6">
        <w:rPr>
          <w:lang w:val="en-GB"/>
        </w:rPr>
        <w:t xml:space="preserve">College Green and on </w:t>
      </w:r>
      <w:hyperlink r:id="rId10" w:history="1">
        <w:r w:rsidR="00247EA6" w:rsidRPr="005C0B51">
          <w:rPr>
            <w:rStyle w:val="Hyperlink"/>
            <w:lang w:val="en-GB"/>
          </w:rPr>
          <w:t>our priority routes</w:t>
        </w:r>
      </w:hyperlink>
      <w:r w:rsidR="00247EA6">
        <w:rPr>
          <w:lang w:val="en-GB"/>
        </w:rPr>
        <w:t xml:space="preserve"> from Trinity Hall to College Green, </w:t>
      </w:r>
      <w:r w:rsidR="007B6230">
        <w:rPr>
          <w:lang w:val="en-GB"/>
        </w:rPr>
        <w:t xml:space="preserve">on Pearse Street, on Nassau Street and from College Green to St. James’s </w:t>
      </w:r>
      <w:r w:rsidR="007B6C13">
        <w:rPr>
          <w:lang w:val="en-GB"/>
        </w:rPr>
        <w:t>Hospital</w:t>
      </w:r>
      <w:r w:rsidR="00C74CF5">
        <w:rPr>
          <w:lang w:val="en-GB"/>
        </w:rPr>
        <w:t xml:space="preserve">.  </w:t>
      </w:r>
      <w:r w:rsidR="00314F6F">
        <w:rPr>
          <w:lang w:val="en-GB"/>
        </w:rPr>
        <w:t xml:space="preserve">Other routes of importance to Trinity include the College Green to Santry and College Green to Iveagh Grounds.  </w:t>
      </w:r>
      <w:r w:rsidR="00C74CF5">
        <w:rPr>
          <w:lang w:val="en-GB"/>
        </w:rPr>
        <w:t>Trinity notes th</w:t>
      </w:r>
      <w:r w:rsidR="00530535">
        <w:rPr>
          <w:lang w:val="en-GB"/>
        </w:rPr>
        <w:t xml:space="preserve">at the NTA has highlighted the importance of biodiversity.  Trinity would like to see as much greening of the GDA as possible to respond to the biodiversity crisis.  </w:t>
      </w:r>
      <w:r w:rsidR="00035667">
        <w:rPr>
          <w:lang w:val="en-GB"/>
        </w:rPr>
        <w:t>Plans to reduce car speeds to facilitate placemaking is fine but removing private cars from</w:t>
      </w:r>
      <w:r w:rsidR="00B92081">
        <w:rPr>
          <w:lang w:val="en-GB"/>
        </w:rPr>
        <w:t xml:space="preserve"> people centred</w:t>
      </w:r>
      <w:r w:rsidR="00035667">
        <w:rPr>
          <w:lang w:val="en-GB"/>
        </w:rPr>
        <w:t xml:space="preserve"> places would be ideal.  </w:t>
      </w:r>
    </w:p>
    <w:p w14:paraId="0240AB7C" w14:textId="567E454C" w:rsidR="00663F1E" w:rsidRPr="00663F1E" w:rsidRDefault="00663F1E" w:rsidP="00663F1E">
      <w:pPr>
        <w:pStyle w:val="ListParagraph"/>
        <w:numPr>
          <w:ilvl w:val="0"/>
          <w:numId w:val="4"/>
        </w:numPr>
        <w:rPr>
          <w:lang w:val="en-GB"/>
        </w:rPr>
      </w:pPr>
      <w:r w:rsidRPr="00663F1E">
        <w:rPr>
          <w:lang w:val="en-GB"/>
        </w:rPr>
        <w:t xml:space="preserve">Dublin has no major public plaza in comparison to other capitals in the EU. We have remarkably little public green space as one approaches An Lár. With Trinity trying to restore biodiversity on its </w:t>
      </w:r>
      <w:r w:rsidR="007E65F8">
        <w:rPr>
          <w:lang w:val="en-GB"/>
        </w:rPr>
        <w:t xml:space="preserve">College Green </w:t>
      </w:r>
      <w:r w:rsidRPr="00663F1E">
        <w:rPr>
          <w:lang w:val="en-GB"/>
        </w:rPr>
        <w:t xml:space="preserve">campus, the </w:t>
      </w:r>
      <w:r w:rsidR="007E65F8">
        <w:rPr>
          <w:lang w:val="en-GB"/>
        </w:rPr>
        <w:t xml:space="preserve">NTA could compliment these </w:t>
      </w:r>
      <w:r w:rsidRPr="00663F1E">
        <w:rPr>
          <w:lang w:val="en-GB"/>
        </w:rPr>
        <w:t xml:space="preserve">efforts </w:t>
      </w:r>
      <w:r w:rsidR="007E65F8">
        <w:rPr>
          <w:lang w:val="en-GB"/>
        </w:rPr>
        <w:t>by supporting a public plaza on College Green</w:t>
      </w:r>
      <w:r w:rsidRPr="00663F1E">
        <w:rPr>
          <w:lang w:val="en-GB"/>
        </w:rPr>
        <w:t xml:space="preserve">. </w:t>
      </w:r>
      <w:r w:rsidR="007E65F8">
        <w:rPr>
          <w:lang w:val="en-GB"/>
        </w:rPr>
        <w:t xml:space="preserve"> College Green </w:t>
      </w:r>
      <w:r w:rsidRPr="00663F1E">
        <w:rPr>
          <w:lang w:val="en-GB"/>
        </w:rPr>
        <w:t>has to be as green as possible and not a traffic sewer, even for buses/coaches.</w:t>
      </w:r>
    </w:p>
    <w:p w14:paraId="0C8916E9" w14:textId="77777777" w:rsidR="00663F1E" w:rsidRDefault="00663F1E" w:rsidP="00663F1E">
      <w:pPr>
        <w:pStyle w:val="ListParagraph"/>
        <w:ind w:left="360"/>
        <w:rPr>
          <w:lang w:val="en-GB"/>
        </w:rPr>
      </w:pPr>
    </w:p>
    <w:p w14:paraId="4000843F" w14:textId="2F14BF11" w:rsidR="000E02F2" w:rsidRPr="007420C6" w:rsidRDefault="00813A96" w:rsidP="000E02F2">
      <w:pPr>
        <w:pStyle w:val="ListParagraph"/>
        <w:numPr>
          <w:ilvl w:val="0"/>
          <w:numId w:val="4"/>
        </w:numPr>
        <w:rPr>
          <w:lang w:val="en-GB"/>
        </w:rPr>
      </w:pPr>
      <w:r w:rsidRPr="00D25CFA">
        <w:rPr>
          <w:b/>
          <w:bCs/>
          <w:lang w:val="en-GB"/>
        </w:rPr>
        <w:t xml:space="preserve">8.11 </w:t>
      </w:r>
      <w:r w:rsidR="003E2C1B" w:rsidRPr="00D25CFA">
        <w:rPr>
          <w:b/>
          <w:bCs/>
          <w:lang w:val="en-GB"/>
        </w:rPr>
        <w:t xml:space="preserve">The Road User Hierarchy: </w:t>
      </w:r>
      <w:r w:rsidRPr="00D25CFA">
        <w:rPr>
          <w:lang w:val="en-GB"/>
        </w:rPr>
        <w:t>Trinity is delighted to see the</w:t>
      </w:r>
      <w:r w:rsidR="00173D2C" w:rsidRPr="00D25CFA">
        <w:rPr>
          <w:lang w:val="en-GB"/>
        </w:rPr>
        <w:t xml:space="preserve"> NTA’s</w:t>
      </w:r>
      <w:r w:rsidRPr="00D25CFA">
        <w:rPr>
          <w:lang w:val="en-GB"/>
        </w:rPr>
        <w:t xml:space="preserve"> </w:t>
      </w:r>
      <w:r w:rsidR="00644541" w:rsidRPr="00D25CFA">
        <w:rPr>
          <w:lang w:val="en-GB"/>
        </w:rPr>
        <w:t xml:space="preserve">continued support of the road user hierarchy.  </w:t>
      </w:r>
      <w:r w:rsidR="007562E3" w:rsidRPr="00D25CFA">
        <w:rPr>
          <w:lang w:val="en-GB"/>
        </w:rPr>
        <w:t>Trinity particularly welcomes the statement: “</w:t>
      </w:r>
      <w:r w:rsidR="000E02F2" w:rsidRPr="00D25CFA">
        <w:rPr>
          <w:lang w:val="en-GB"/>
        </w:rPr>
        <w:t>A high priority must also be given to cyclists, because trips by this</w:t>
      </w:r>
      <w:r w:rsidR="007562E3" w:rsidRPr="00D25CFA">
        <w:rPr>
          <w:lang w:val="en-GB"/>
        </w:rPr>
        <w:t xml:space="preserve"> </w:t>
      </w:r>
      <w:r w:rsidR="000E02F2" w:rsidRPr="00D25CFA">
        <w:rPr>
          <w:lang w:val="en-GB"/>
        </w:rPr>
        <w:t>mode have a great potential to replace trips by private car, most specifically for short to medium distance trips, but increasingly for longer trips as e-bikes extend the range of this mode.”</w:t>
      </w:r>
      <w:r w:rsidR="007562E3" w:rsidRPr="00D25CFA">
        <w:rPr>
          <w:lang w:val="en-GB"/>
        </w:rPr>
        <w:t xml:space="preserve">  Thank you.  </w:t>
      </w:r>
      <w:r w:rsidR="00D25CFA" w:rsidRPr="00D25CFA">
        <w:rPr>
          <w:lang w:val="en-GB"/>
        </w:rPr>
        <w:t xml:space="preserve">Trinity is concerned however that the following Action Measure dilutes this: </w:t>
      </w:r>
      <w:r w:rsidR="00D25CFA" w:rsidRPr="00D25CFA">
        <w:rPr>
          <w:b/>
          <w:bCs/>
          <w:lang w:val="en-GB"/>
        </w:rPr>
        <w:t>MEASURE PLAN16 – The Road User Hierarchy</w:t>
      </w:r>
      <w:r w:rsidR="00D25CFA">
        <w:rPr>
          <w:b/>
          <w:bCs/>
          <w:lang w:val="en-GB"/>
        </w:rPr>
        <w:t xml:space="preserve"> </w:t>
      </w:r>
      <w:r w:rsidR="00D25CFA" w:rsidRPr="00D25CFA">
        <w:rPr>
          <w:lang w:val="en-GB"/>
        </w:rPr>
        <w:t>The NTA, in the decision-making process around the</w:t>
      </w:r>
      <w:r w:rsidR="00D25CFA">
        <w:rPr>
          <w:lang w:val="en-GB"/>
        </w:rPr>
        <w:t xml:space="preserve"> </w:t>
      </w:r>
      <w:r w:rsidR="00D25CFA" w:rsidRPr="00D25CFA">
        <w:rPr>
          <w:lang w:val="en-GB"/>
        </w:rPr>
        <w:t>design, planning and funding of transport schemes in the</w:t>
      </w:r>
      <w:r w:rsidR="00D25CFA" w:rsidRPr="00D25CFA">
        <w:rPr>
          <w:lang w:val="en-GB"/>
        </w:rPr>
        <w:br/>
        <w:t xml:space="preserve">GDA, </w:t>
      </w:r>
      <w:r w:rsidR="00D25CFA" w:rsidRPr="00B25A88">
        <w:rPr>
          <w:i/>
          <w:iCs/>
          <w:color w:val="FF0000"/>
          <w:lang w:val="en-GB"/>
        </w:rPr>
        <w:t>will be guided</w:t>
      </w:r>
      <w:r w:rsidR="00D25CFA" w:rsidRPr="00D25CFA">
        <w:rPr>
          <w:color w:val="FF0000"/>
          <w:lang w:val="en-GB"/>
        </w:rPr>
        <w:t xml:space="preserve"> </w:t>
      </w:r>
      <w:r w:rsidR="00D25CFA" w:rsidRPr="00D25CFA">
        <w:rPr>
          <w:lang w:val="en-GB"/>
        </w:rPr>
        <w:t>by the priority afforded to each mode</w:t>
      </w:r>
      <w:r w:rsidR="00D25CFA">
        <w:rPr>
          <w:lang w:val="en-GB"/>
        </w:rPr>
        <w:t xml:space="preserve"> </w:t>
      </w:r>
      <w:r w:rsidR="00D25CFA" w:rsidRPr="00D25CFA">
        <w:rPr>
          <w:lang w:val="en-GB"/>
        </w:rPr>
        <w:t>in the Road User Hierarchy as set out in the Transport</w:t>
      </w:r>
      <w:r w:rsidR="00D25CFA">
        <w:rPr>
          <w:lang w:val="en-GB"/>
        </w:rPr>
        <w:t xml:space="preserve"> </w:t>
      </w:r>
      <w:r w:rsidR="00D25CFA" w:rsidRPr="00D25CFA">
        <w:rPr>
          <w:lang w:val="en-GB"/>
        </w:rPr>
        <w:t>Strategy.</w:t>
      </w:r>
      <w:r w:rsidR="00D25CFA">
        <w:rPr>
          <w:lang w:val="en-GB"/>
        </w:rPr>
        <w:t xml:space="preserve">  Trinity feels </w:t>
      </w:r>
      <w:r w:rsidR="00D25CFA" w:rsidRPr="00D25CFA">
        <w:rPr>
          <w:lang w:val="en-GB"/>
        </w:rPr>
        <w:t>“will be guided” is not strong enough. Guidance can be easily ignored.</w:t>
      </w:r>
    </w:p>
    <w:p w14:paraId="4E56C536" w14:textId="77777777" w:rsidR="000B672A" w:rsidRDefault="000B672A" w:rsidP="000B672A">
      <w:pPr>
        <w:pStyle w:val="Heading2"/>
      </w:pPr>
      <w:r>
        <w:t>Background</w:t>
      </w:r>
    </w:p>
    <w:p w14:paraId="71D88813" w14:textId="77777777" w:rsidR="000B672A" w:rsidRDefault="000B672A" w:rsidP="000B672A">
      <w:r w:rsidRPr="001E53A1">
        <w:rPr>
          <w:b/>
          <w:bCs/>
        </w:rPr>
        <w:t>About Trinity:</w:t>
      </w:r>
      <w:r>
        <w:t xml:space="preserve"> Trinity is the largest trip attractor in Dublin City Centre.  The majority of our 16,000 students and 4,000 staff, study or work on our College Green Campus.  Whilst the central work of the university is education and research, Trinity also has 661 on campus student beds on College Green/Pearse Street, approximately 1 million visitors per year to the Book of Kells exhibition and multiple cafes and gift shops open to the public.  Our conference, private dining and banqueting services are busy year-round and from mid-May to mid-August we operate as the largest accommodation provider in Dublin with over 1,500 beds a night across our College Green and Trinity Hall campuses</w:t>
      </w:r>
      <w:r>
        <w:rPr>
          <w:rStyle w:val="FootnoteReference"/>
        </w:rPr>
        <w:footnoteReference w:id="2"/>
      </w:r>
      <w:r>
        <w:t xml:space="preserve">.  </w:t>
      </w:r>
    </w:p>
    <w:p w14:paraId="1AE92A7B" w14:textId="77777777" w:rsidR="000B672A" w:rsidRDefault="000B672A" w:rsidP="000B672A">
      <w:r w:rsidRPr="001E53A1">
        <w:rPr>
          <w:b/>
          <w:bCs/>
        </w:rPr>
        <w:t>Trinity’s partnership with the NTA:</w:t>
      </w:r>
      <w:r>
        <w:t xml:space="preserve"> Trinity has partnered with the National Transport Authority as a Smarter Travel Campus since 2011.  Through that partnership, data capture with the National Transport Authority has identified Trinity as a global leader in sustainable transport use with only 1% of our students and staff commuting by private car</w:t>
      </w:r>
      <w:r>
        <w:rPr>
          <w:rStyle w:val="FootnoteReference"/>
        </w:rPr>
        <w:footnoteReference w:id="3"/>
      </w:r>
      <w:r>
        <w:t xml:space="preserve">.  Trinity has participated in the National Transport Authority’s annual walking and cycling challenges with participation of greater than 100 people every year.  In 2019, Trinity participated in the National Transport Authority’s Smarter Travel awards with one group of our students and one of our lecturers winning an award.  Partnering with the National Transport Authority on the Smarter Travel Campus initiative has been a very positive and enjoyable experience and we look forward to continuing to do so.  </w:t>
      </w:r>
    </w:p>
    <w:p w14:paraId="7E0F619C" w14:textId="491346BA" w:rsidR="000B672A" w:rsidRDefault="000B672A" w:rsidP="000B672A">
      <w:r w:rsidRPr="009A391B">
        <w:rPr>
          <w:b/>
          <w:bCs/>
        </w:rPr>
        <w:t xml:space="preserve">How Trinity is supporting </w:t>
      </w:r>
      <w:r>
        <w:rPr>
          <w:b/>
          <w:bCs/>
        </w:rPr>
        <w:t>#LiveableDublin</w:t>
      </w:r>
      <w:r w:rsidRPr="009A391B">
        <w:rPr>
          <w:b/>
          <w:bCs/>
        </w:rPr>
        <w:t>:</w:t>
      </w:r>
      <w:r>
        <w:t xml:space="preserve"> In 2019, Trinity, PPI Ignite (a research project in Trinity) and BYCS Amsterdam (a Dutch not for profit organisation that promotes cycling) worked with the support of Dublin City Council to facilitate a city-wide debate on how Dublin can become more liveable.  During the LiveableDublin events, participants defined and explored the question, “How can we speed up change in Dublin to make it more liveable?”</w:t>
      </w:r>
      <w:r>
        <w:rPr>
          <w:rStyle w:val="FootnoteReference"/>
        </w:rPr>
        <w:footnoteReference w:id="4"/>
      </w:r>
      <w:r>
        <w:t>.   Trinity made a submission to Dublin City Council on travel during COVID-19 restrictions calling for wider footpaths and safer cycling</w:t>
      </w:r>
      <w:r>
        <w:rPr>
          <w:rStyle w:val="FootnoteReference"/>
        </w:rPr>
        <w:footnoteReference w:id="5"/>
      </w:r>
      <w:r>
        <w:t xml:space="preserve">.  </w:t>
      </w:r>
      <w:r>
        <w:rPr>
          <w:rFonts w:ascii="Calibri" w:eastAsia="Calibri" w:hAnsi="Calibri" w:cs="Calibri"/>
        </w:rPr>
        <w:t xml:space="preserve">We were </w:t>
      </w:r>
      <w:r w:rsidRPr="1FFEA2FE">
        <w:rPr>
          <w:rFonts w:ascii="Calibri" w:eastAsia="Calibri" w:hAnsi="Calibri" w:cs="Calibri"/>
        </w:rPr>
        <w:t>ranked as the top ‘Green’ University in 2020</w:t>
      </w:r>
      <w:r>
        <w:rPr>
          <w:rStyle w:val="FootnoteReference"/>
          <w:rFonts w:ascii="Calibri" w:eastAsia="Calibri" w:hAnsi="Calibri" w:cs="Calibri"/>
        </w:rPr>
        <w:footnoteReference w:id="6"/>
      </w:r>
      <w:r w:rsidRPr="1FFEA2FE">
        <w:rPr>
          <w:rFonts w:ascii="Calibri" w:eastAsia="Calibri" w:hAnsi="Calibri" w:cs="Calibri"/>
        </w:rPr>
        <w:t xml:space="preserve">. </w:t>
      </w:r>
      <w:r>
        <w:t xml:space="preserve">Trinity believes this work demonstrates that we are committed to working for and with the city to make Dublin more sustainable and liveable.  </w:t>
      </w:r>
      <w:r w:rsidR="00257D45">
        <w:t xml:space="preserve">During COP26, Trinity signed this letter </w:t>
      </w:r>
      <w:r w:rsidR="008131DF">
        <w:t xml:space="preserve">urging governments to boost </w:t>
      </w:r>
      <w:r w:rsidR="00257D45">
        <w:t>cycling</w:t>
      </w:r>
      <w:r w:rsidR="008131DF">
        <w:t xml:space="preserve"> levels. </w:t>
      </w:r>
      <w:r w:rsidR="00257D45">
        <w:t xml:space="preserve"> </w:t>
      </w:r>
      <w:hyperlink r:id="rId11" w:history="1">
        <w:r w:rsidR="00257D45" w:rsidRPr="00E869D3">
          <w:rPr>
            <w:rStyle w:val="Hyperlink"/>
          </w:rPr>
          <w:t>https://cop26cycling.com/</w:t>
        </w:r>
      </w:hyperlink>
      <w:r w:rsidR="00257D45">
        <w:t xml:space="preserve"> </w:t>
      </w:r>
    </w:p>
    <w:p w14:paraId="2F208EF7" w14:textId="77777777" w:rsidR="000B672A" w:rsidRDefault="000B672A" w:rsidP="000B672A">
      <w:r w:rsidRPr="009A391B">
        <w:rPr>
          <w:b/>
          <w:bCs/>
        </w:rPr>
        <w:lastRenderedPageBreak/>
        <w:t>How people travel</w:t>
      </w:r>
      <w:r>
        <w:rPr>
          <w:b/>
          <w:bCs/>
        </w:rPr>
        <w:t>led</w:t>
      </w:r>
      <w:r w:rsidRPr="009A391B">
        <w:rPr>
          <w:b/>
          <w:bCs/>
        </w:rPr>
        <w:t xml:space="preserve"> to Trinity</w:t>
      </w:r>
      <w:r>
        <w:rPr>
          <w:b/>
          <w:bCs/>
        </w:rPr>
        <w:t xml:space="preserve"> pre COVID-19</w:t>
      </w:r>
      <w:r>
        <w:rPr>
          <w:noProof/>
        </w:rPr>
        <w:drawing>
          <wp:inline distT="0" distB="0" distL="0" distR="0" wp14:anchorId="3F8C7872" wp14:editId="0AF57B7E">
            <wp:extent cx="5731510" cy="24333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5731510" cy="2433320"/>
                    </a:xfrm>
                    <a:prstGeom prst="rect">
                      <a:avLst/>
                    </a:prstGeom>
                  </pic:spPr>
                </pic:pic>
              </a:graphicData>
            </a:graphic>
          </wp:inline>
        </w:drawing>
      </w:r>
    </w:p>
    <w:p w14:paraId="0F1965C9" w14:textId="77777777" w:rsidR="000B672A" w:rsidRDefault="000B672A" w:rsidP="000B672A">
      <w:pPr>
        <w:rPr>
          <w:sz w:val="18"/>
          <w:szCs w:val="18"/>
        </w:rPr>
      </w:pPr>
      <w:r w:rsidRPr="004A2330">
        <w:rPr>
          <w:sz w:val="18"/>
          <w:szCs w:val="18"/>
        </w:rPr>
        <w:t>Figure 1. Shows how Trinity students and staff travel</w:t>
      </w:r>
      <w:r>
        <w:rPr>
          <w:sz w:val="18"/>
          <w:szCs w:val="18"/>
        </w:rPr>
        <w:t>led</w:t>
      </w:r>
      <w:r w:rsidRPr="004A2330">
        <w:rPr>
          <w:sz w:val="18"/>
          <w:szCs w:val="18"/>
        </w:rPr>
        <w:t xml:space="preserve"> to campus</w:t>
      </w:r>
      <w:r>
        <w:rPr>
          <w:sz w:val="18"/>
          <w:szCs w:val="18"/>
        </w:rPr>
        <w:t xml:space="preserve"> in March 2019</w:t>
      </w:r>
    </w:p>
    <w:p w14:paraId="5C629181" w14:textId="77777777" w:rsidR="000B672A" w:rsidRPr="00747571" w:rsidRDefault="000B672A" w:rsidP="000B672A">
      <w:r w:rsidRPr="00747571">
        <w:t xml:space="preserve">Trinity is a global leader in </w:t>
      </w:r>
      <w:r>
        <w:t xml:space="preserve">sustainable transport use.  We are lucky, due to our location, to be served by all forms of public transport except safe, segregated cycling.  </w:t>
      </w:r>
    </w:p>
    <w:p w14:paraId="4C74F8A0" w14:textId="77777777" w:rsidR="000B672A" w:rsidRDefault="000B672A" w:rsidP="000B672A">
      <w:r w:rsidRPr="00747CEC">
        <w:rPr>
          <w:b/>
          <w:bCs/>
        </w:rPr>
        <w:t xml:space="preserve">Completing </w:t>
      </w:r>
      <w:r>
        <w:rPr>
          <w:b/>
          <w:bCs/>
        </w:rPr>
        <w:t>this document</w:t>
      </w:r>
      <w:r w:rsidRPr="00747CEC">
        <w:rPr>
          <w:b/>
          <w:bCs/>
        </w:rPr>
        <w:t xml:space="preserve">: </w:t>
      </w:r>
      <w:r>
        <w:t>Trinity notes the primary ongoing and to be completed transport projects for the GDA:</w:t>
      </w:r>
    </w:p>
    <w:p w14:paraId="3E72E825" w14:textId="77777777" w:rsidR="000B672A" w:rsidRDefault="000B672A" w:rsidP="000B672A">
      <w:pPr>
        <w:pStyle w:val="ListParagraph"/>
        <w:numPr>
          <w:ilvl w:val="0"/>
          <w:numId w:val="3"/>
        </w:numPr>
        <w:rPr>
          <w:rFonts w:eastAsiaTheme="minorEastAsia"/>
        </w:rPr>
      </w:pPr>
      <w:r w:rsidRPr="1FFEA2FE">
        <w:rPr>
          <w:rFonts w:ascii="Calibri" w:eastAsia="Calibri" w:hAnsi="Calibri" w:cs="Calibri"/>
        </w:rPr>
        <w:t>On-going roll out of cycle tracks and greenways</w:t>
      </w:r>
    </w:p>
    <w:p w14:paraId="59409AFF" w14:textId="77777777" w:rsidR="000B672A" w:rsidRDefault="000B672A" w:rsidP="000B672A">
      <w:pPr>
        <w:pStyle w:val="ListParagraph"/>
        <w:numPr>
          <w:ilvl w:val="0"/>
          <w:numId w:val="3"/>
        </w:numPr>
        <w:rPr>
          <w:rFonts w:eastAsiaTheme="minorEastAsia"/>
        </w:rPr>
      </w:pPr>
      <w:r w:rsidRPr="1FFEA2FE">
        <w:rPr>
          <w:rFonts w:ascii="Calibri" w:eastAsia="Calibri" w:hAnsi="Calibri" w:cs="Calibri"/>
        </w:rPr>
        <w:t xml:space="preserve">Metrolink </w:t>
      </w:r>
      <w:r>
        <w:rPr>
          <w:rFonts w:ascii="Calibri" w:eastAsia="Calibri" w:hAnsi="Calibri" w:cs="Calibri"/>
        </w:rPr>
        <w:t xml:space="preserve">and </w:t>
      </w:r>
      <w:r w:rsidRPr="1FFEA2FE">
        <w:rPr>
          <w:rFonts w:ascii="Calibri" w:eastAsia="Calibri" w:hAnsi="Calibri" w:cs="Calibri"/>
        </w:rPr>
        <w:t>DART+ Programme; and</w:t>
      </w:r>
    </w:p>
    <w:p w14:paraId="1E871463" w14:textId="77777777" w:rsidR="000B672A" w:rsidRPr="00801AFA" w:rsidRDefault="000B672A" w:rsidP="000B672A">
      <w:pPr>
        <w:pStyle w:val="ListParagraph"/>
        <w:numPr>
          <w:ilvl w:val="0"/>
          <w:numId w:val="3"/>
        </w:numPr>
        <w:rPr>
          <w:rFonts w:eastAsiaTheme="minorEastAsia"/>
        </w:rPr>
      </w:pPr>
      <w:r w:rsidRPr="1FFEA2FE">
        <w:rPr>
          <w:rFonts w:ascii="Calibri" w:eastAsia="Calibri" w:hAnsi="Calibri" w:cs="Calibri"/>
        </w:rPr>
        <w:t>Investment in bus priority and bus service improvements – BusConnects</w:t>
      </w:r>
    </w:p>
    <w:p w14:paraId="3F25D515" w14:textId="77777777" w:rsidR="000B672A" w:rsidRDefault="000B672A" w:rsidP="000B672A">
      <w:pPr>
        <w:pStyle w:val="ListParagraph"/>
        <w:numPr>
          <w:ilvl w:val="0"/>
          <w:numId w:val="3"/>
        </w:numPr>
        <w:rPr>
          <w:rFonts w:eastAsiaTheme="minorEastAsia"/>
        </w:rPr>
      </w:pPr>
      <w:r>
        <w:rPr>
          <w:rFonts w:ascii="Calibri" w:eastAsia="Calibri" w:hAnsi="Calibri" w:cs="Calibri"/>
        </w:rPr>
        <w:t>Proposed Luas extensions</w:t>
      </w:r>
    </w:p>
    <w:p w14:paraId="296C6C88" w14:textId="205AA07B" w:rsidR="000B672A" w:rsidRDefault="000B672A" w:rsidP="000B672A">
      <w:r>
        <w:rPr>
          <w:rFonts w:ascii="Calibri" w:eastAsia="Calibri" w:hAnsi="Calibri" w:cs="Calibri"/>
        </w:rPr>
        <w:t xml:space="preserve">We thank the NTA for their progress on these schemes and welcome </w:t>
      </w:r>
      <w:r w:rsidR="0022679C">
        <w:rPr>
          <w:rFonts w:ascii="Calibri" w:eastAsia="Calibri" w:hAnsi="Calibri" w:cs="Calibri"/>
        </w:rPr>
        <w:t xml:space="preserve">this </w:t>
      </w:r>
      <w:r>
        <w:rPr>
          <w:rFonts w:ascii="Calibri" w:eastAsia="Calibri" w:hAnsi="Calibri" w:cs="Calibri"/>
        </w:rPr>
        <w:t xml:space="preserve">review of the </w:t>
      </w:r>
      <w:r>
        <w:t xml:space="preserve">Greater Dublin Area Transport Strategy.  </w:t>
      </w:r>
    </w:p>
    <w:p w14:paraId="63F2F5AC" w14:textId="03111BC5" w:rsidR="00E0232C" w:rsidRDefault="00E0232C" w:rsidP="00E0232C">
      <w:pPr>
        <w:pStyle w:val="Heading3"/>
      </w:pPr>
      <w:r>
        <w:t xml:space="preserve">Contact Details </w:t>
      </w:r>
    </w:p>
    <w:p w14:paraId="5CD181C8" w14:textId="4C7AD346" w:rsidR="00E0232C" w:rsidRPr="00602BF4" w:rsidRDefault="00E0232C" w:rsidP="00E0232C">
      <w:r>
        <w:t>For questions/comments on this submission please contact:</w:t>
      </w:r>
    </w:p>
    <w:tbl>
      <w:tblPr>
        <w:tblStyle w:val="TableGrid"/>
        <w:tblW w:w="0" w:type="auto"/>
        <w:tblLook w:val="04A0" w:firstRow="1" w:lastRow="0" w:firstColumn="1" w:lastColumn="0" w:noHBand="0" w:noVBand="1"/>
      </w:tblPr>
      <w:tblGrid>
        <w:gridCol w:w="4390"/>
        <w:gridCol w:w="4626"/>
      </w:tblGrid>
      <w:tr w:rsidR="00E0232C" w14:paraId="0FFD20FC" w14:textId="77777777" w:rsidTr="007852F7">
        <w:tc>
          <w:tcPr>
            <w:tcW w:w="4390" w:type="dxa"/>
          </w:tcPr>
          <w:p w14:paraId="6C6CBA95" w14:textId="77777777" w:rsidR="00E0232C" w:rsidRDefault="00E0232C" w:rsidP="002F7961">
            <w:pPr>
              <w:rPr>
                <w:rFonts w:ascii="Times New Roman" w:eastAsiaTheme="minorEastAsia" w:hAnsi="Times New Roman"/>
                <w:noProof/>
                <w:sz w:val="24"/>
                <w:lang w:eastAsia="en-IE"/>
              </w:rPr>
            </w:pPr>
            <w:r>
              <w:rPr>
                <w:rFonts w:eastAsiaTheme="minorEastAsia"/>
                <w:noProof/>
                <w:lang w:eastAsia="en-IE"/>
              </w:rPr>
              <w:t>Martina Mullin</w:t>
            </w:r>
          </w:p>
          <w:p w14:paraId="2743213F" w14:textId="6587B3B3" w:rsidR="00E0232C" w:rsidRPr="00F07DC3" w:rsidRDefault="00E0232C" w:rsidP="002F7961">
            <w:pPr>
              <w:rPr>
                <w:rFonts w:ascii="Calibri" w:eastAsiaTheme="minorEastAsia" w:hAnsi="Calibri"/>
                <w:noProof/>
                <w:lang w:eastAsia="en-IE"/>
              </w:rPr>
            </w:pPr>
            <w:r>
              <w:rPr>
                <w:rFonts w:eastAsiaTheme="minorEastAsia"/>
                <w:noProof/>
                <w:lang w:eastAsia="en-IE"/>
              </w:rPr>
              <w:t>Health Promotion Officer</w:t>
            </w:r>
            <w:r w:rsidR="007852F7">
              <w:rPr>
                <w:rFonts w:eastAsiaTheme="minorEastAsia"/>
                <w:noProof/>
                <w:lang w:eastAsia="en-IE"/>
              </w:rPr>
              <w:t xml:space="preserve"> and Co-Chair of the Healthy Trinity Initiative</w:t>
            </w:r>
            <w:r>
              <w:rPr>
                <w:rFonts w:eastAsiaTheme="minorEastAsia"/>
                <w:noProof/>
                <w:lang w:eastAsia="en-IE"/>
              </w:rPr>
              <w:t xml:space="preserve"> </w:t>
            </w:r>
          </w:p>
        </w:tc>
        <w:tc>
          <w:tcPr>
            <w:tcW w:w="4626" w:type="dxa"/>
          </w:tcPr>
          <w:p w14:paraId="769254C3" w14:textId="76BA8190" w:rsidR="00E71109" w:rsidRPr="009E767B" w:rsidRDefault="00E71109" w:rsidP="00E71109">
            <w:pPr>
              <w:rPr>
                <w:rFonts w:eastAsiaTheme="minorEastAsia"/>
                <w:noProof/>
                <w:lang w:eastAsia="en-IE"/>
              </w:rPr>
            </w:pPr>
            <w:r>
              <w:rPr>
                <w:rFonts w:eastAsiaTheme="minorEastAsia"/>
                <w:noProof/>
                <w:lang w:eastAsia="en-IE"/>
              </w:rPr>
              <w:t xml:space="preserve">Dr </w:t>
            </w:r>
            <w:r w:rsidR="00B95330">
              <w:rPr>
                <w:rFonts w:eastAsiaTheme="minorEastAsia"/>
                <w:noProof/>
                <w:lang w:eastAsia="en-IE"/>
              </w:rPr>
              <w:t>Michael</w:t>
            </w:r>
            <w:r w:rsidRPr="009E767B">
              <w:rPr>
                <w:rFonts w:eastAsiaTheme="minorEastAsia"/>
                <w:noProof/>
                <w:lang w:eastAsia="en-IE"/>
              </w:rPr>
              <w:t xml:space="preserve"> </w:t>
            </w:r>
            <w:r w:rsidR="00B95330">
              <w:rPr>
                <w:rFonts w:eastAsiaTheme="minorEastAsia"/>
                <w:noProof/>
                <w:lang w:eastAsia="en-IE"/>
              </w:rPr>
              <w:t>McKillen</w:t>
            </w:r>
          </w:p>
          <w:p w14:paraId="330E2381" w14:textId="77777777" w:rsidR="00534A87" w:rsidRDefault="00534A87" w:rsidP="00534A87">
            <w:pPr>
              <w:rPr>
                <w:lang w:eastAsia="en-IE"/>
              </w:rPr>
            </w:pPr>
            <w:r>
              <w:rPr>
                <w:lang w:eastAsia="en-IE"/>
              </w:rPr>
              <w:t>Adjunct Assistant Professor,</w:t>
            </w:r>
          </w:p>
          <w:p w14:paraId="59EA63A2" w14:textId="4DB3BECE" w:rsidR="00B95330" w:rsidRPr="00F07DC3" w:rsidRDefault="00534A87" w:rsidP="00F07DC3">
            <w:pPr>
              <w:rPr>
                <w:lang w:eastAsia="en-IE"/>
              </w:rPr>
            </w:pPr>
            <w:r>
              <w:rPr>
                <w:lang w:eastAsia="en-IE"/>
              </w:rPr>
              <w:t>School of Biochemistry &amp; Immunology,</w:t>
            </w:r>
          </w:p>
        </w:tc>
      </w:tr>
      <w:tr w:rsidR="00DE0C65" w14:paraId="24A81F90" w14:textId="77777777" w:rsidTr="007852F7">
        <w:tc>
          <w:tcPr>
            <w:tcW w:w="4390" w:type="dxa"/>
          </w:tcPr>
          <w:p w14:paraId="74AD90BC" w14:textId="77777777" w:rsidR="00DE0C65" w:rsidRDefault="00DE0C65" w:rsidP="002F7961">
            <w:pPr>
              <w:rPr>
                <w:rFonts w:eastAsiaTheme="minorEastAsia"/>
                <w:noProof/>
                <w:lang w:eastAsia="en-IE"/>
              </w:rPr>
            </w:pPr>
            <w:r>
              <w:rPr>
                <w:rFonts w:eastAsiaTheme="minorEastAsia"/>
                <w:noProof/>
                <w:lang w:eastAsia="en-IE"/>
              </w:rPr>
              <w:t>Sarah Bowman</w:t>
            </w:r>
          </w:p>
          <w:p w14:paraId="6A61D253" w14:textId="77777777" w:rsidR="00DE0C65" w:rsidRDefault="00DE0C65" w:rsidP="002F7961">
            <w:pPr>
              <w:rPr>
                <w:rFonts w:eastAsiaTheme="minorEastAsia"/>
                <w:noProof/>
                <w:lang w:eastAsia="en-IE"/>
              </w:rPr>
            </w:pPr>
            <w:r>
              <w:rPr>
                <w:rFonts w:eastAsiaTheme="minorEastAsia"/>
                <w:noProof/>
                <w:lang w:eastAsia="en-IE"/>
              </w:rPr>
              <w:t>Director of Strategic Engagement</w:t>
            </w:r>
          </w:p>
        </w:tc>
        <w:tc>
          <w:tcPr>
            <w:tcW w:w="4626" w:type="dxa"/>
          </w:tcPr>
          <w:p w14:paraId="703C1849" w14:textId="77777777" w:rsidR="00DE0C65" w:rsidRDefault="00DE0C65" w:rsidP="00E71109">
            <w:pPr>
              <w:rPr>
                <w:rFonts w:eastAsiaTheme="minorEastAsia"/>
                <w:noProof/>
                <w:lang w:eastAsia="en-IE"/>
              </w:rPr>
            </w:pPr>
            <w:r>
              <w:rPr>
                <w:rFonts w:eastAsiaTheme="minorEastAsia"/>
                <w:noProof/>
                <w:lang w:eastAsia="en-IE"/>
              </w:rPr>
              <w:t>Prof. Clare Kelly</w:t>
            </w:r>
          </w:p>
          <w:p w14:paraId="45CEABF8" w14:textId="5428C6F6" w:rsidR="00094764" w:rsidRDefault="00094764" w:rsidP="00E71109">
            <w:pPr>
              <w:rPr>
                <w:rFonts w:eastAsiaTheme="minorEastAsia"/>
                <w:noProof/>
                <w:lang w:eastAsia="en-IE"/>
              </w:rPr>
            </w:pPr>
            <w:r>
              <w:rPr>
                <w:rFonts w:eastAsiaTheme="minorEastAsia"/>
                <w:noProof/>
                <w:lang w:eastAsia="en-IE"/>
              </w:rPr>
              <w:t>School of Psychology</w:t>
            </w:r>
          </w:p>
        </w:tc>
      </w:tr>
      <w:tr w:rsidR="00DE0C65" w14:paraId="7A240D79" w14:textId="77777777" w:rsidTr="007852F7">
        <w:tc>
          <w:tcPr>
            <w:tcW w:w="4390" w:type="dxa"/>
          </w:tcPr>
          <w:p w14:paraId="518B0677" w14:textId="1CCE579F" w:rsidR="00DE0C65" w:rsidRDefault="00094764" w:rsidP="002F7961">
            <w:pPr>
              <w:rPr>
                <w:rFonts w:eastAsiaTheme="minorEastAsia"/>
                <w:noProof/>
                <w:lang w:eastAsia="en-IE"/>
              </w:rPr>
            </w:pPr>
            <w:r>
              <w:rPr>
                <w:rFonts w:eastAsiaTheme="minorEastAsia"/>
                <w:noProof/>
                <w:lang w:eastAsia="en-IE"/>
              </w:rPr>
              <w:t>Clodagh Colleran</w:t>
            </w:r>
          </w:p>
          <w:p w14:paraId="401A5D48" w14:textId="61A794AB" w:rsidR="004345C3" w:rsidRDefault="004345C3" w:rsidP="002F7961">
            <w:pPr>
              <w:rPr>
                <w:rFonts w:eastAsiaTheme="minorEastAsia"/>
                <w:noProof/>
                <w:lang w:eastAsia="en-IE"/>
              </w:rPr>
            </w:pPr>
            <w:r>
              <w:rPr>
                <w:rFonts w:eastAsiaTheme="minorEastAsia"/>
                <w:noProof/>
                <w:lang w:eastAsia="en-IE"/>
              </w:rPr>
              <w:t>Administrative Officer</w:t>
            </w:r>
          </w:p>
          <w:p w14:paraId="53538925" w14:textId="2E0063D5" w:rsidR="00094764" w:rsidRDefault="004345C3" w:rsidP="004345C3">
            <w:pPr>
              <w:rPr>
                <w:rFonts w:eastAsiaTheme="minorEastAsia"/>
                <w:noProof/>
                <w:lang w:eastAsia="en-IE"/>
              </w:rPr>
            </w:pPr>
            <w:r>
              <w:rPr>
                <w:rFonts w:eastAsiaTheme="minorEastAsia"/>
                <w:noProof/>
                <w:lang w:eastAsia="en-IE"/>
              </w:rPr>
              <w:t>School of Medicine</w:t>
            </w:r>
          </w:p>
        </w:tc>
        <w:tc>
          <w:tcPr>
            <w:tcW w:w="4626" w:type="dxa"/>
          </w:tcPr>
          <w:p w14:paraId="46C12137" w14:textId="77777777" w:rsidR="00DE0C65" w:rsidRDefault="00DE0C65" w:rsidP="00E71109">
            <w:pPr>
              <w:rPr>
                <w:rFonts w:eastAsiaTheme="minorEastAsia"/>
                <w:noProof/>
                <w:lang w:eastAsia="en-IE"/>
              </w:rPr>
            </w:pPr>
          </w:p>
        </w:tc>
      </w:tr>
    </w:tbl>
    <w:p w14:paraId="1C52036B" w14:textId="730D0DBA" w:rsidR="00593D72" w:rsidRDefault="00593D72" w:rsidP="00CC39AD">
      <w:pPr>
        <w:pStyle w:val="Heading1"/>
      </w:pPr>
    </w:p>
    <w:sectPr w:rsidR="00593D7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C9658" w14:textId="77777777" w:rsidR="00EF61E1" w:rsidRDefault="00EF61E1" w:rsidP="00561F8E">
      <w:pPr>
        <w:spacing w:after="0" w:line="240" w:lineRule="auto"/>
      </w:pPr>
      <w:r>
        <w:separator/>
      </w:r>
    </w:p>
  </w:endnote>
  <w:endnote w:type="continuationSeparator" w:id="0">
    <w:p w14:paraId="0D47E0C9" w14:textId="77777777" w:rsidR="00EF61E1" w:rsidRDefault="00EF61E1" w:rsidP="00561F8E">
      <w:pPr>
        <w:spacing w:after="0" w:line="240" w:lineRule="auto"/>
      </w:pPr>
      <w:r>
        <w:continuationSeparator/>
      </w:r>
    </w:p>
  </w:endnote>
  <w:endnote w:type="continuationNotice" w:id="1">
    <w:p w14:paraId="70B7BA2E" w14:textId="77777777" w:rsidR="00EF61E1" w:rsidRDefault="00EF61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7198770"/>
      <w:docPartObj>
        <w:docPartGallery w:val="Page Numbers (Bottom of Page)"/>
        <w:docPartUnique/>
      </w:docPartObj>
    </w:sdtPr>
    <w:sdtEndPr>
      <w:rPr>
        <w:noProof/>
      </w:rPr>
    </w:sdtEndPr>
    <w:sdtContent>
      <w:p w14:paraId="0E8CBEA1" w14:textId="05722CFE" w:rsidR="006571FF" w:rsidRDefault="006571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E86E07" w14:textId="77777777" w:rsidR="006571FF" w:rsidRDefault="00657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47003" w14:textId="77777777" w:rsidR="00EF61E1" w:rsidRDefault="00EF61E1" w:rsidP="00561F8E">
      <w:pPr>
        <w:spacing w:after="0" w:line="240" w:lineRule="auto"/>
      </w:pPr>
      <w:r>
        <w:separator/>
      </w:r>
    </w:p>
  </w:footnote>
  <w:footnote w:type="continuationSeparator" w:id="0">
    <w:p w14:paraId="49249205" w14:textId="77777777" w:rsidR="00EF61E1" w:rsidRDefault="00EF61E1" w:rsidP="00561F8E">
      <w:pPr>
        <w:spacing w:after="0" w:line="240" w:lineRule="auto"/>
      </w:pPr>
      <w:r>
        <w:continuationSeparator/>
      </w:r>
    </w:p>
  </w:footnote>
  <w:footnote w:type="continuationNotice" w:id="1">
    <w:p w14:paraId="4D1CAEEC" w14:textId="77777777" w:rsidR="00EF61E1" w:rsidRDefault="00EF61E1">
      <w:pPr>
        <w:spacing w:after="0" w:line="240" w:lineRule="auto"/>
      </w:pPr>
    </w:p>
  </w:footnote>
  <w:footnote w:id="2">
    <w:p w14:paraId="068F4E98" w14:textId="77777777" w:rsidR="000B672A" w:rsidRDefault="000B672A" w:rsidP="000B672A">
      <w:pPr>
        <w:pStyle w:val="FootnoteText"/>
      </w:pPr>
      <w:r>
        <w:rPr>
          <w:rStyle w:val="FootnoteReference"/>
        </w:rPr>
        <w:footnoteRef/>
      </w:r>
      <w:r>
        <w:t xml:space="preserve"> </w:t>
      </w:r>
      <w:hyperlink r:id="rId1" w:history="1">
        <w:r w:rsidRPr="00150A72">
          <w:rPr>
            <w:rStyle w:val="Hyperlink"/>
          </w:rPr>
          <w:t>https://www.tcd.ie/corporate-services/assets/pdf/annual-report-2018-2019.pdf</w:t>
        </w:r>
      </w:hyperlink>
      <w:r>
        <w:t xml:space="preserve"> </w:t>
      </w:r>
    </w:p>
  </w:footnote>
  <w:footnote w:id="3">
    <w:p w14:paraId="42C6CB13" w14:textId="77777777" w:rsidR="000B672A" w:rsidRDefault="000B672A" w:rsidP="000B672A">
      <w:pPr>
        <w:pStyle w:val="FootnoteText"/>
      </w:pPr>
      <w:r>
        <w:rPr>
          <w:rStyle w:val="FootnoteReference"/>
        </w:rPr>
        <w:footnoteRef/>
      </w:r>
      <w:r>
        <w:t xml:space="preserve"> </w:t>
      </w:r>
      <w:hyperlink r:id="rId2" w:history="1">
        <w:r w:rsidRPr="00150A72">
          <w:rPr>
            <w:rStyle w:val="Hyperlink"/>
          </w:rPr>
          <w:t>https://www.tcd.ie/healthytrinity/travel/Stats.php</w:t>
        </w:r>
      </w:hyperlink>
      <w:r>
        <w:t xml:space="preserve"> </w:t>
      </w:r>
    </w:p>
  </w:footnote>
  <w:footnote w:id="4">
    <w:p w14:paraId="5F697809" w14:textId="77777777" w:rsidR="000B672A" w:rsidRDefault="000B672A" w:rsidP="000B672A">
      <w:pPr>
        <w:pStyle w:val="FootnoteText"/>
      </w:pPr>
      <w:r>
        <w:rPr>
          <w:rStyle w:val="FootnoteReference"/>
        </w:rPr>
        <w:footnoteRef/>
      </w:r>
      <w:r>
        <w:t xml:space="preserve"> </w:t>
      </w:r>
      <w:hyperlink r:id="rId3" w:history="1">
        <w:r w:rsidRPr="00150A72">
          <w:rPr>
            <w:rStyle w:val="Hyperlink"/>
          </w:rPr>
          <w:t>https://www.tcd.ie/healthytrinity/liveabledublin/</w:t>
        </w:r>
      </w:hyperlink>
      <w:r>
        <w:t xml:space="preserve"> </w:t>
      </w:r>
    </w:p>
  </w:footnote>
  <w:footnote w:id="5">
    <w:p w14:paraId="6C2ECCD4" w14:textId="77777777" w:rsidR="000B672A" w:rsidRDefault="000B672A" w:rsidP="000B672A">
      <w:pPr>
        <w:pStyle w:val="FootnoteText"/>
      </w:pPr>
      <w:r>
        <w:rPr>
          <w:rStyle w:val="FootnoteReference"/>
        </w:rPr>
        <w:footnoteRef/>
      </w:r>
      <w:r>
        <w:t xml:space="preserve"> </w:t>
      </w:r>
      <w:hyperlink r:id="rId4" w:history="1">
        <w:r w:rsidRPr="00022F90">
          <w:rPr>
            <w:rStyle w:val="Hyperlink"/>
          </w:rPr>
          <w:t>https://www.tcd.ie/healthytrinity/assets/documents/Covid-19/TCD%20DCC%20Covid%2019%20Submission%20Final.pdf</w:t>
        </w:r>
      </w:hyperlink>
      <w:r>
        <w:t xml:space="preserve"> </w:t>
      </w:r>
    </w:p>
  </w:footnote>
  <w:footnote w:id="6">
    <w:p w14:paraId="50BD356B" w14:textId="1831C8CB" w:rsidR="000B672A" w:rsidRPr="00CC39AD" w:rsidRDefault="000B672A" w:rsidP="00CC39AD">
      <w:pPr>
        <w:rPr>
          <w:color w:val="0563C1" w:themeColor="hyperlink"/>
          <w:sz w:val="20"/>
          <w:szCs w:val="20"/>
          <w:u w:val="single"/>
        </w:rPr>
      </w:pPr>
      <w:r>
        <w:rPr>
          <w:rStyle w:val="FootnoteReference"/>
        </w:rPr>
        <w:footnoteRef/>
      </w:r>
      <w:r>
        <w:t xml:space="preserve"> </w:t>
      </w:r>
      <w:hyperlink r:id="rId5">
        <w:r w:rsidRPr="00EF3EBE">
          <w:rPr>
            <w:rStyle w:val="Hyperlink"/>
            <w:sz w:val="20"/>
            <w:szCs w:val="20"/>
          </w:rPr>
          <w:t>https://www.tcd.ie/news_events/articles/trinity-wins-best-green-campus-award-2020/</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2C12"/>
    <w:multiLevelType w:val="hybridMultilevel"/>
    <w:tmpl w:val="C8F027F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2002DA2"/>
    <w:multiLevelType w:val="hybridMultilevel"/>
    <w:tmpl w:val="A2F8B3CA"/>
    <w:lvl w:ilvl="0" w:tplc="1809000F">
      <w:start w:val="1"/>
      <w:numFmt w:val="decimal"/>
      <w:lvlText w:val="%1."/>
      <w:lvlJc w:val="left"/>
      <w:pPr>
        <w:ind w:left="36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C5F658D"/>
    <w:multiLevelType w:val="multilevel"/>
    <w:tmpl w:val="5E06A7A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34FA2310"/>
    <w:multiLevelType w:val="hybridMultilevel"/>
    <w:tmpl w:val="43EE7B3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371134AB"/>
    <w:multiLevelType w:val="hybridMultilevel"/>
    <w:tmpl w:val="73D09114"/>
    <w:lvl w:ilvl="0" w:tplc="3312BBF6">
      <w:start w:val="1"/>
      <w:numFmt w:val="bullet"/>
      <w:lvlText w:val=""/>
      <w:lvlJc w:val="left"/>
      <w:pPr>
        <w:ind w:left="720" w:hanging="360"/>
      </w:pPr>
      <w:rPr>
        <w:rFonts w:ascii="Symbol" w:hAnsi="Symbol" w:hint="default"/>
      </w:rPr>
    </w:lvl>
    <w:lvl w:ilvl="1" w:tplc="7E4E1BF8">
      <w:start w:val="1"/>
      <w:numFmt w:val="bullet"/>
      <w:lvlText w:val="o"/>
      <w:lvlJc w:val="left"/>
      <w:pPr>
        <w:ind w:left="1440" w:hanging="360"/>
      </w:pPr>
      <w:rPr>
        <w:rFonts w:ascii="Courier New" w:hAnsi="Courier New" w:hint="default"/>
      </w:rPr>
    </w:lvl>
    <w:lvl w:ilvl="2" w:tplc="4A364858">
      <w:start w:val="1"/>
      <w:numFmt w:val="bullet"/>
      <w:lvlText w:val=""/>
      <w:lvlJc w:val="left"/>
      <w:pPr>
        <w:ind w:left="2160" w:hanging="360"/>
      </w:pPr>
      <w:rPr>
        <w:rFonts w:ascii="Wingdings" w:hAnsi="Wingdings" w:hint="default"/>
      </w:rPr>
    </w:lvl>
    <w:lvl w:ilvl="3" w:tplc="A664D514">
      <w:start w:val="1"/>
      <w:numFmt w:val="bullet"/>
      <w:lvlText w:val=""/>
      <w:lvlJc w:val="left"/>
      <w:pPr>
        <w:ind w:left="2880" w:hanging="360"/>
      </w:pPr>
      <w:rPr>
        <w:rFonts w:ascii="Symbol" w:hAnsi="Symbol" w:hint="default"/>
      </w:rPr>
    </w:lvl>
    <w:lvl w:ilvl="4" w:tplc="F14802E4">
      <w:start w:val="1"/>
      <w:numFmt w:val="bullet"/>
      <w:lvlText w:val="o"/>
      <w:lvlJc w:val="left"/>
      <w:pPr>
        <w:ind w:left="3600" w:hanging="360"/>
      </w:pPr>
      <w:rPr>
        <w:rFonts w:ascii="Courier New" w:hAnsi="Courier New" w:hint="default"/>
      </w:rPr>
    </w:lvl>
    <w:lvl w:ilvl="5" w:tplc="5900C6F0">
      <w:start w:val="1"/>
      <w:numFmt w:val="bullet"/>
      <w:lvlText w:val=""/>
      <w:lvlJc w:val="left"/>
      <w:pPr>
        <w:ind w:left="4320" w:hanging="360"/>
      </w:pPr>
      <w:rPr>
        <w:rFonts w:ascii="Wingdings" w:hAnsi="Wingdings" w:hint="default"/>
      </w:rPr>
    </w:lvl>
    <w:lvl w:ilvl="6" w:tplc="79F4F5AA">
      <w:start w:val="1"/>
      <w:numFmt w:val="bullet"/>
      <w:lvlText w:val=""/>
      <w:lvlJc w:val="left"/>
      <w:pPr>
        <w:ind w:left="5040" w:hanging="360"/>
      </w:pPr>
      <w:rPr>
        <w:rFonts w:ascii="Symbol" w:hAnsi="Symbol" w:hint="default"/>
      </w:rPr>
    </w:lvl>
    <w:lvl w:ilvl="7" w:tplc="22F43ED0">
      <w:start w:val="1"/>
      <w:numFmt w:val="bullet"/>
      <w:lvlText w:val="o"/>
      <w:lvlJc w:val="left"/>
      <w:pPr>
        <w:ind w:left="5760" w:hanging="360"/>
      </w:pPr>
      <w:rPr>
        <w:rFonts w:ascii="Courier New" w:hAnsi="Courier New" w:hint="default"/>
      </w:rPr>
    </w:lvl>
    <w:lvl w:ilvl="8" w:tplc="0E1A75FC">
      <w:start w:val="1"/>
      <w:numFmt w:val="bullet"/>
      <w:lvlText w:val=""/>
      <w:lvlJc w:val="left"/>
      <w:pPr>
        <w:ind w:left="6480" w:hanging="360"/>
      </w:pPr>
      <w:rPr>
        <w:rFonts w:ascii="Wingdings" w:hAnsi="Wingdings" w:hint="default"/>
      </w:rPr>
    </w:lvl>
  </w:abstractNum>
  <w:abstractNum w:abstractNumId="5" w15:restartNumberingAfterBreak="0">
    <w:nsid w:val="4BD32F6C"/>
    <w:multiLevelType w:val="hybridMultilevel"/>
    <w:tmpl w:val="E08E5B92"/>
    <w:lvl w:ilvl="0" w:tplc="3C04EEE8">
      <w:start w:val="12"/>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FA406F1"/>
    <w:multiLevelType w:val="hybridMultilevel"/>
    <w:tmpl w:val="EA8CC08C"/>
    <w:lvl w:ilvl="0" w:tplc="3C04EEE8">
      <w:start w:val="12"/>
      <w:numFmt w:val="bullet"/>
      <w:lvlText w:val="-"/>
      <w:lvlJc w:val="left"/>
      <w:pPr>
        <w:ind w:left="360" w:hanging="360"/>
      </w:pPr>
      <w:rPr>
        <w:rFonts w:ascii="Calibri" w:eastAsiaTheme="minorHAnsi" w:hAnsi="Calibri" w:cs="Calibri"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57910B76"/>
    <w:multiLevelType w:val="hybridMultilevel"/>
    <w:tmpl w:val="E330271A"/>
    <w:lvl w:ilvl="0" w:tplc="3C04EEE8">
      <w:start w:val="12"/>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9666209"/>
    <w:multiLevelType w:val="hybridMultilevel"/>
    <w:tmpl w:val="78EA26B2"/>
    <w:lvl w:ilvl="0" w:tplc="3C04EEE8">
      <w:start w:val="12"/>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42F2AFC"/>
    <w:multiLevelType w:val="hybridMultilevel"/>
    <w:tmpl w:val="62EEC5B4"/>
    <w:lvl w:ilvl="0" w:tplc="3C04EEE8">
      <w:start w:val="12"/>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5C43D0E"/>
    <w:multiLevelType w:val="hybridMultilevel"/>
    <w:tmpl w:val="605C2CC4"/>
    <w:lvl w:ilvl="0" w:tplc="356849B0">
      <w:start w:val="1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10"/>
  </w:num>
  <w:num w:numId="6">
    <w:abstractNumId w:val="0"/>
  </w:num>
  <w:num w:numId="7">
    <w:abstractNumId w:val="5"/>
  </w:num>
  <w:num w:numId="8">
    <w:abstractNumId w:val="8"/>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D72"/>
    <w:rsid w:val="000003F7"/>
    <w:rsid w:val="00000437"/>
    <w:rsid w:val="00007547"/>
    <w:rsid w:val="00014DDF"/>
    <w:rsid w:val="0001504A"/>
    <w:rsid w:val="00017BF3"/>
    <w:rsid w:val="0002132E"/>
    <w:rsid w:val="000224BE"/>
    <w:rsid w:val="000231D7"/>
    <w:rsid w:val="000277AB"/>
    <w:rsid w:val="000334BA"/>
    <w:rsid w:val="00034A61"/>
    <w:rsid w:val="00035667"/>
    <w:rsid w:val="00043841"/>
    <w:rsid w:val="00053808"/>
    <w:rsid w:val="00055D01"/>
    <w:rsid w:val="00056250"/>
    <w:rsid w:val="00057578"/>
    <w:rsid w:val="0006034A"/>
    <w:rsid w:val="00064A2E"/>
    <w:rsid w:val="00065DEC"/>
    <w:rsid w:val="00067C85"/>
    <w:rsid w:val="00077192"/>
    <w:rsid w:val="00086201"/>
    <w:rsid w:val="00087079"/>
    <w:rsid w:val="00091108"/>
    <w:rsid w:val="00094764"/>
    <w:rsid w:val="000A051C"/>
    <w:rsid w:val="000A0ABC"/>
    <w:rsid w:val="000A3DB1"/>
    <w:rsid w:val="000A63BD"/>
    <w:rsid w:val="000A75EF"/>
    <w:rsid w:val="000B36AC"/>
    <w:rsid w:val="000B672A"/>
    <w:rsid w:val="000D0DD0"/>
    <w:rsid w:val="000D6308"/>
    <w:rsid w:val="000E02F2"/>
    <w:rsid w:val="000E040C"/>
    <w:rsid w:val="000E0C83"/>
    <w:rsid w:val="000E19F3"/>
    <w:rsid w:val="000E1F66"/>
    <w:rsid w:val="000E2442"/>
    <w:rsid w:val="000E288E"/>
    <w:rsid w:val="000E3802"/>
    <w:rsid w:val="000E6860"/>
    <w:rsid w:val="000F215C"/>
    <w:rsid w:val="000F5438"/>
    <w:rsid w:val="00100961"/>
    <w:rsid w:val="00107634"/>
    <w:rsid w:val="00107A2A"/>
    <w:rsid w:val="00110669"/>
    <w:rsid w:val="00110C66"/>
    <w:rsid w:val="0011135C"/>
    <w:rsid w:val="00112E1C"/>
    <w:rsid w:val="00120008"/>
    <w:rsid w:val="001305B6"/>
    <w:rsid w:val="001314CE"/>
    <w:rsid w:val="001339FA"/>
    <w:rsid w:val="0013774C"/>
    <w:rsid w:val="00137B10"/>
    <w:rsid w:val="00142303"/>
    <w:rsid w:val="001443B1"/>
    <w:rsid w:val="001503ED"/>
    <w:rsid w:val="001512B6"/>
    <w:rsid w:val="00155005"/>
    <w:rsid w:val="00155478"/>
    <w:rsid w:val="001556C1"/>
    <w:rsid w:val="0016441E"/>
    <w:rsid w:val="0016744F"/>
    <w:rsid w:val="00167F85"/>
    <w:rsid w:val="00171163"/>
    <w:rsid w:val="00173D2C"/>
    <w:rsid w:val="001749AB"/>
    <w:rsid w:val="00176633"/>
    <w:rsid w:val="00180AC9"/>
    <w:rsid w:val="00186A1F"/>
    <w:rsid w:val="001906DC"/>
    <w:rsid w:val="001A1CA9"/>
    <w:rsid w:val="001A7AE9"/>
    <w:rsid w:val="001B16B9"/>
    <w:rsid w:val="001B5168"/>
    <w:rsid w:val="001B516A"/>
    <w:rsid w:val="001C061A"/>
    <w:rsid w:val="001C390F"/>
    <w:rsid w:val="001C63B2"/>
    <w:rsid w:val="001D123B"/>
    <w:rsid w:val="001D39D3"/>
    <w:rsid w:val="001D4D96"/>
    <w:rsid w:val="001E0121"/>
    <w:rsid w:val="001E198D"/>
    <w:rsid w:val="001E53A1"/>
    <w:rsid w:val="001E5FDB"/>
    <w:rsid w:val="001F2317"/>
    <w:rsid w:val="001F2806"/>
    <w:rsid w:val="001F5249"/>
    <w:rsid w:val="0020025C"/>
    <w:rsid w:val="00201918"/>
    <w:rsid w:val="00203FA0"/>
    <w:rsid w:val="00206402"/>
    <w:rsid w:val="002107E2"/>
    <w:rsid w:val="002114D1"/>
    <w:rsid w:val="0021565A"/>
    <w:rsid w:val="00221DBF"/>
    <w:rsid w:val="002222CA"/>
    <w:rsid w:val="002225FB"/>
    <w:rsid w:val="002236C3"/>
    <w:rsid w:val="00224401"/>
    <w:rsid w:val="0022679C"/>
    <w:rsid w:val="002318F1"/>
    <w:rsid w:val="00233945"/>
    <w:rsid w:val="00235BF0"/>
    <w:rsid w:val="00242FF5"/>
    <w:rsid w:val="00246274"/>
    <w:rsid w:val="00247EA6"/>
    <w:rsid w:val="00254DE8"/>
    <w:rsid w:val="00257D45"/>
    <w:rsid w:val="0026294F"/>
    <w:rsid w:val="00270359"/>
    <w:rsid w:val="002810B5"/>
    <w:rsid w:val="0028340B"/>
    <w:rsid w:val="002912F7"/>
    <w:rsid w:val="00292023"/>
    <w:rsid w:val="00292568"/>
    <w:rsid w:val="0029522B"/>
    <w:rsid w:val="0029648E"/>
    <w:rsid w:val="00296F69"/>
    <w:rsid w:val="00296F88"/>
    <w:rsid w:val="002A2DF3"/>
    <w:rsid w:val="002A3332"/>
    <w:rsid w:val="002A6543"/>
    <w:rsid w:val="002B0BB8"/>
    <w:rsid w:val="002B6916"/>
    <w:rsid w:val="002C7D3D"/>
    <w:rsid w:val="002D3F68"/>
    <w:rsid w:val="002D5D9B"/>
    <w:rsid w:val="002F608F"/>
    <w:rsid w:val="002F6C74"/>
    <w:rsid w:val="002F7961"/>
    <w:rsid w:val="00304886"/>
    <w:rsid w:val="003056E7"/>
    <w:rsid w:val="00314F6F"/>
    <w:rsid w:val="00316674"/>
    <w:rsid w:val="00326033"/>
    <w:rsid w:val="00333E74"/>
    <w:rsid w:val="003364C2"/>
    <w:rsid w:val="0034057E"/>
    <w:rsid w:val="00352A8E"/>
    <w:rsid w:val="00360D7A"/>
    <w:rsid w:val="00362378"/>
    <w:rsid w:val="003625F4"/>
    <w:rsid w:val="00362B00"/>
    <w:rsid w:val="00365F5E"/>
    <w:rsid w:val="00374249"/>
    <w:rsid w:val="00374300"/>
    <w:rsid w:val="00374386"/>
    <w:rsid w:val="00376BC2"/>
    <w:rsid w:val="00383A9C"/>
    <w:rsid w:val="003863F3"/>
    <w:rsid w:val="003A0FAA"/>
    <w:rsid w:val="003A1CBE"/>
    <w:rsid w:val="003B33BC"/>
    <w:rsid w:val="003B7FC8"/>
    <w:rsid w:val="003C0A52"/>
    <w:rsid w:val="003C23AA"/>
    <w:rsid w:val="003C4F06"/>
    <w:rsid w:val="003C69AD"/>
    <w:rsid w:val="003D21DF"/>
    <w:rsid w:val="003D74A2"/>
    <w:rsid w:val="003E2C1B"/>
    <w:rsid w:val="003F0CBD"/>
    <w:rsid w:val="003F3839"/>
    <w:rsid w:val="003F4B7E"/>
    <w:rsid w:val="003F5ABA"/>
    <w:rsid w:val="00400649"/>
    <w:rsid w:val="004047E6"/>
    <w:rsid w:val="00404B90"/>
    <w:rsid w:val="004052A1"/>
    <w:rsid w:val="00406788"/>
    <w:rsid w:val="004138B4"/>
    <w:rsid w:val="004151A2"/>
    <w:rsid w:val="004157C6"/>
    <w:rsid w:val="00417F24"/>
    <w:rsid w:val="00430406"/>
    <w:rsid w:val="00432238"/>
    <w:rsid w:val="0043228C"/>
    <w:rsid w:val="00433992"/>
    <w:rsid w:val="004345C3"/>
    <w:rsid w:val="00443380"/>
    <w:rsid w:val="00450D65"/>
    <w:rsid w:val="00451F48"/>
    <w:rsid w:val="004526F2"/>
    <w:rsid w:val="00453AC1"/>
    <w:rsid w:val="00453FDE"/>
    <w:rsid w:val="004578A2"/>
    <w:rsid w:val="00464A39"/>
    <w:rsid w:val="0047139E"/>
    <w:rsid w:val="0047154F"/>
    <w:rsid w:val="00471EDC"/>
    <w:rsid w:val="00480B0A"/>
    <w:rsid w:val="004832A5"/>
    <w:rsid w:val="00485EC4"/>
    <w:rsid w:val="004925A1"/>
    <w:rsid w:val="004936B4"/>
    <w:rsid w:val="00496FA4"/>
    <w:rsid w:val="004A2330"/>
    <w:rsid w:val="004A4149"/>
    <w:rsid w:val="004A4B30"/>
    <w:rsid w:val="004A52C6"/>
    <w:rsid w:val="004A5E11"/>
    <w:rsid w:val="004B4AD4"/>
    <w:rsid w:val="004B61CE"/>
    <w:rsid w:val="004C0CC6"/>
    <w:rsid w:val="004C15E9"/>
    <w:rsid w:val="004C4338"/>
    <w:rsid w:val="004D011F"/>
    <w:rsid w:val="004D0ACE"/>
    <w:rsid w:val="004D268C"/>
    <w:rsid w:val="004D3561"/>
    <w:rsid w:val="004D5268"/>
    <w:rsid w:val="004D6727"/>
    <w:rsid w:val="004D7A21"/>
    <w:rsid w:val="004E145E"/>
    <w:rsid w:val="004E2C93"/>
    <w:rsid w:val="004E672E"/>
    <w:rsid w:val="004F00C3"/>
    <w:rsid w:val="004F1812"/>
    <w:rsid w:val="004F7D09"/>
    <w:rsid w:val="005018EC"/>
    <w:rsid w:val="0050428E"/>
    <w:rsid w:val="00507141"/>
    <w:rsid w:val="005078D2"/>
    <w:rsid w:val="00511320"/>
    <w:rsid w:val="005155D0"/>
    <w:rsid w:val="00516F8E"/>
    <w:rsid w:val="00517557"/>
    <w:rsid w:val="00517942"/>
    <w:rsid w:val="005265DD"/>
    <w:rsid w:val="00530535"/>
    <w:rsid w:val="00532279"/>
    <w:rsid w:val="005332A0"/>
    <w:rsid w:val="00533C30"/>
    <w:rsid w:val="00534A87"/>
    <w:rsid w:val="00536272"/>
    <w:rsid w:val="0054287A"/>
    <w:rsid w:val="0054329F"/>
    <w:rsid w:val="005463A0"/>
    <w:rsid w:val="0054763A"/>
    <w:rsid w:val="00547EBF"/>
    <w:rsid w:val="00551C2E"/>
    <w:rsid w:val="005570F9"/>
    <w:rsid w:val="00561F8E"/>
    <w:rsid w:val="00566442"/>
    <w:rsid w:val="00567C97"/>
    <w:rsid w:val="0057231A"/>
    <w:rsid w:val="00572606"/>
    <w:rsid w:val="00572AD5"/>
    <w:rsid w:val="00574799"/>
    <w:rsid w:val="00577C3D"/>
    <w:rsid w:val="00583173"/>
    <w:rsid w:val="00586D9E"/>
    <w:rsid w:val="00587DFF"/>
    <w:rsid w:val="00593796"/>
    <w:rsid w:val="00593D72"/>
    <w:rsid w:val="005969D3"/>
    <w:rsid w:val="00596A76"/>
    <w:rsid w:val="00596E6E"/>
    <w:rsid w:val="0059712B"/>
    <w:rsid w:val="005A615A"/>
    <w:rsid w:val="005A6D77"/>
    <w:rsid w:val="005A6F0D"/>
    <w:rsid w:val="005B1C31"/>
    <w:rsid w:val="005B296E"/>
    <w:rsid w:val="005B2E47"/>
    <w:rsid w:val="005B37DA"/>
    <w:rsid w:val="005C0B51"/>
    <w:rsid w:val="005C32B9"/>
    <w:rsid w:val="005C3D4B"/>
    <w:rsid w:val="005E6212"/>
    <w:rsid w:val="00611D1B"/>
    <w:rsid w:val="00612211"/>
    <w:rsid w:val="00612B34"/>
    <w:rsid w:val="00614499"/>
    <w:rsid w:val="00615223"/>
    <w:rsid w:val="00616B31"/>
    <w:rsid w:val="00623189"/>
    <w:rsid w:val="00630009"/>
    <w:rsid w:val="00631F5E"/>
    <w:rsid w:val="00633546"/>
    <w:rsid w:val="00633E68"/>
    <w:rsid w:val="00635016"/>
    <w:rsid w:val="006409F8"/>
    <w:rsid w:val="00644112"/>
    <w:rsid w:val="00644541"/>
    <w:rsid w:val="00644A9A"/>
    <w:rsid w:val="006455AD"/>
    <w:rsid w:val="006571FF"/>
    <w:rsid w:val="006579E0"/>
    <w:rsid w:val="00663915"/>
    <w:rsid w:val="00663F1E"/>
    <w:rsid w:val="00665891"/>
    <w:rsid w:val="006746C0"/>
    <w:rsid w:val="006841FB"/>
    <w:rsid w:val="00687664"/>
    <w:rsid w:val="00694490"/>
    <w:rsid w:val="006A6BE4"/>
    <w:rsid w:val="006B27E2"/>
    <w:rsid w:val="006B3B06"/>
    <w:rsid w:val="006B3F72"/>
    <w:rsid w:val="006C015D"/>
    <w:rsid w:val="006C0DFD"/>
    <w:rsid w:val="006C18D2"/>
    <w:rsid w:val="006C3D39"/>
    <w:rsid w:val="006C4762"/>
    <w:rsid w:val="006C54FE"/>
    <w:rsid w:val="006C613D"/>
    <w:rsid w:val="006C6A7D"/>
    <w:rsid w:val="006C6CA4"/>
    <w:rsid w:val="006D67F8"/>
    <w:rsid w:val="006D6C85"/>
    <w:rsid w:val="006E0FC3"/>
    <w:rsid w:val="006E1828"/>
    <w:rsid w:val="006E1AE6"/>
    <w:rsid w:val="006F00E9"/>
    <w:rsid w:val="006F1D43"/>
    <w:rsid w:val="006F3E78"/>
    <w:rsid w:val="00702AE6"/>
    <w:rsid w:val="00703953"/>
    <w:rsid w:val="00704AF5"/>
    <w:rsid w:val="007110A9"/>
    <w:rsid w:val="00712002"/>
    <w:rsid w:val="00713C3E"/>
    <w:rsid w:val="00717ABE"/>
    <w:rsid w:val="00723C08"/>
    <w:rsid w:val="00724E70"/>
    <w:rsid w:val="00725C4F"/>
    <w:rsid w:val="0073337E"/>
    <w:rsid w:val="00734C38"/>
    <w:rsid w:val="007420C6"/>
    <w:rsid w:val="00747571"/>
    <w:rsid w:val="00747CEC"/>
    <w:rsid w:val="00751C33"/>
    <w:rsid w:val="00754345"/>
    <w:rsid w:val="007562E3"/>
    <w:rsid w:val="00757FEB"/>
    <w:rsid w:val="0076001E"/>
    <w:rsid w:val="00763510"/>
    <w:rsid w:val="00765DB3"/>
    <w:rsid w:val="0076752A"/>
    <w:rsid w:val="00770D87"/>
    <w:rsid w:val="0078395A"/>
    <w:rsid w:val="007852F7"/>
    <w:rsid w:val="007864E8"/>
    <w:rsid w:val="00791FE5"/>
    <w:rsid w:val="007922A1"/>
    <w:rsid w:val="00792CBF"/>
    <w:rsid w:val="00795618"/>
    <w:rsid w:val="007A10AF"/>
    <w:rsid w:val="007A48B4"/>
    <w:rsid w:val="007B307D"/>
    <w:rsid w:val="007B5E69"/>
    <w:rsid w:val="007B6230"/>
    <w:rsid w:val="007B6C13"/>
    <w:rsid w:val="007B6E3A"/>
    <w:rsid w:val="007C2C3C"/>
    <w:rsid w:val="007C43D6"/>
    <w:rsid w:val="007C43DF"/>
    <w:rsid w:val="007D0E2D"/>
    <w:rsid w:val="007D1A93"/>
    <w:rsid w:val="007D6FAC"/>
    <w:rsid w:val="007E1FE9"/>
    <w:rsid w:val="007E32CD"/>
    <w:rsid w:val="007E529D"/>
    <w:rsid w:val="007E65F8"/>
    <w:rsid w:val="007F025A"/>
    <w:rsid w:val="007F0F99"/>
    <w:rsid w:val="007F7EB9"/>
    <w:rsid w:val="00801AFA"/>
    <w:rsid w:val="00804620"/>
    <w:rsid w:val="008058F6"/>
    <w:rsid w:val="00806507"/>
    <w:rsid w:val="008131DF"/>
    <w:rsid w:val="00813335"/>
    <w:rsid w:val="00813A96"/>
    <w:rsid w:val="00813A99"/>
    <w:rsid w:val="008202CD"/>
    <w:rsid w:val="00836D53"/>
    <w:rsid w:val="00836E3F"/>
    <w:rsid w:val="008421E5"/>
    <w:rsid w:val="00842AD5"/>
    <w:rsid w:val="008467CC"/>
    <w:rsid w:val="00846A7D"/>
    <w:rsid w:val="00846E73"/>
    <w:rsid w:val="00852513"/>
    <w:rsid w:val="00852E38"/>
    <w:rsid w:val="00854DF5"/>
    <w:rsid w:val="00854E42"/>
    <w:rsid w:val="00855229"/>
    <w:rsid w:val="00855357"/>
    <w:rsid w:val="008567A0"/>
    <w:rsid w:val="0085799D"/>
    <w:rsid w:val="00860B79"/>
    <w:rsid w:val="008659A2"/>
    <w:rsid w:val="00866BD2"/>
    <w:rsid w:val="008768DF"/>
    <w:rsid w:val="00890969"/>
    <w:rsid w:val="00895C1F"/>
    <w:rsid w:val="008A40FD"/>
    <w:rsid w:val="008B1D22"/>
    <w:rsid w:val="008B3008"/>
    <w:rsid w:val="008B3658"/>
    <w:rsid w:val="008C47C7"/>
    <w:rsid w:val="008D3AFB"/>
    <w:rsid w:val="008D7F56"/>
    <w:rsid w:val="008E2C00"/>
    <w:rsid w:val="008E31F2"/>
    <w:rsid w:val="008F04AD"/>
    <w:rsid w:val="008F1B22"/>
    <w:rsid w:val="008F4F19"/>
    <w:rsid w:val="008F66E7"/>
    <w:rsid w:val="008F6C0A"/>
    <w:rsid w:val="00905F9F"/>
    <w:rsid w:val="00906854"/>
    <w:rsid w:val="00912025"/>
    <w:rsid w:val="0091458C"/>
    <w:rsid w:val="00923BAA"/>
    <w:rsid w:val="00925680"/>
    <w:rsid w:val="00927CF7"/>
    <w:rsid w:val="00930FD1"/>
    <w:rsid w:val="0093318C"/>
    <w:rsid w:val="009334F0"/>
    <w:rsid w:val="00935033"/>
    <w:rsid w:val="00941FAE"/>
    <w:rsid w:val="0094628E"/>
    <w:rsid w:val="00956021"/>
    <w:rsid w:val="009623B5"/>
    <w:rsid w:val="009627F8"/>
    <w:rsid w:val="009638F5"/>
    <w:rsid w:val="009639ED"/>
    <w:rsid w:val="00976473"/>
    <w:rsid w:val="009772C0"/>
    <w:rsid w:val="00977EBE"/>
    <w:rsid w:val="0098001C"/>
    <w:rsid w:val="00980DD0"/>
    <w:rsid w:val="00984508"/>
    <w:rsid w:val="009863EB"/>
    <w:rsid w:val="0099338A"/>
    <w:rsid w:val="009A0CC2"/>
    <w:rsid w:val="009A2050"/>
    <w:rsid w:val="009A391B"/>
    <w:rsid w:val="009A73C2"/>
    <w:rsid w:val="009A7E5E"/>
    <w:rsid w:val="009B2E4C"/>
    <w:rsid w:val="009B38AC"/>
    <w:rsid w:val="009B43E3"/>
    <w:rsid w:val="009B7601"/>
    <w:rsid w:val="009C0652"/>
    <w:rsid w:val="009C140A"/>
    <w:rsid w:val="009C148E"/>
    <w:rsid w:val="009C28E5"/>
    <w:rsid w:val="009C5F08"/>
    <w:rsid w:val="009C6263"/>
    <w:rsid w:val="009D14E4"/>
    <w:rsid w:val="009D17E6"/>
    <w:rsid w:val="009E1E22"/>
    <w:rsid w:val="009E3922"/>
    <w:rsid w:val="009E50ED"/>
    <w:rsid w:val="009F1B7C"/>
    <w:rsid w:val="009F3970"/>
    <w:rsid w:val="009F3C28"/>
    <w:rsid w:val="00A00299"/>
    <w:rsid w:val="00A00523"/>
    <w:rsid w:val="00A00817"/>
    <w:rsid w:val="00A20CF2"/>
    <w:rsid w:val="00A24DA4"/>
    <w:rsid w:val="00A25117"/>
    <w:rsid w:val="00A26066"/>
    <w:rsid w:val="00A260D5"/>
    <w:rsid w:val="00A26C6C"/>
    <w:rsid w:val="00A47A89"/>
    <w:rsid w:val="00A6100E"/>
    <w:rsid w:val="00A611F9"/>
    <w:rsid w:val="00A6136F"/>
    <w:rsid w:val="00A65509"/>
    <w:rsid w:val="00A722A2"/>
    <w:rsid w:val="00A72911"/>
    <w:rsid w:val="00A745E0"/>
    <w:rsid w:val="00A746B7"/>
    <w:rsid w:val="00A82404"/>
    <w:rsid w:val="00A9379B"/>
    <w:rsid w:val="00A94620"/>
    <w:rsid w:val="00AA1203"/>
    <w:rsid w:val="00AA7C5C"/>
    <w:rsid w:val="00AC575F"/>
    <w:rsid w:val="00AC731E"/>
    <w:rsid w:val="00AD1484"/>
    <w:rsid w:val="00AD1DD4"/>
    <w:rsid w:val="00AD6C3F"/>
    <w:rsid w:val="00AE5C86"/>
    <w:rsid w:val="00B02243"/>
    <w:rsid w:val="00B041D2"/>
    <w:rsid w:val="00B07D7A"/>
    <w:rsid w:val="00B1405A"/>
    <w:rsid w:val="00B15306"/>
    <w:rsid w:val="00B15796"/>
    <w:rsid w:val="00B20A77"/>
    <w:rsid w:val="00B21A27"/>
    <w:rsid w:val="00B25A88"/>
    <w:rsid w:val="00B34D77"/>
    <w:rsid w:val="00B3794D"/>
    <w:rsid w:val="00B50475"/>
    <w:rsid w:val="00B54915"/>
    <w:rsid w:val="00B617F5"/>
    <w:rsid w:val="00B70296"/>
    <w:rsid w:val="00B75967"/>
    <w:rsid w:val="00B76144"/>
    <w:rsid w:val="00B81223"/>
    <w:rsid w:val="00B82D44"/>
    <w:rsid w:val="00B85C8C"/>
    <w:rsid w:val="00B92081"/>
    <w:rsid w:val="00B937E5"/>
    <w:rsid w:val="00B94850"/>
    <w:rsid w:val="00B94DEC"/>
    <w:rsid w:val="00B95330"/>
    <w:rsid w:val="00B95FCD"/>
    <w:rsid w:val="00B96C57"/>
    <w:rsid w:val="00BA1AEA"/>
    <w:rsid w:val="00BA208B"/>
    <w:rsid w:val="00BA2A3B"/>
    <w:rsid w:val="00BA42EE"/>
    <w:rsid w:val="00BA4C99"/>
    <w:rsid w:val="00BA5149"/>
    <w:rsid w:val="00BA72A8"/>
    <w:rsid w:val="00BB0363"/>
    <w:rsid w:val="00BB16B0"/>
    <w:rsid w:val="00BB3569"/>
    <w:rsid w:val="00BC7146"/>
    <w:rsid w:val="00BD03FB"/>
    <w:rsid w:val="00BD7FA0"/>
    <w:rsid w:val="00BE4607"/>
    <w:rsid w:val="00BE63F4"/>
    <w:rsid w:val="00BE6B9C"/>
    <w:rsid w:val="00BE7B67"/>
    <w:rsid w:val="00BF430F"/>
    <w:rsid w:val="00BF5456"/>
    <w:rsid w:val="00BF6B40"/>
    <w:rsid w:val="00C02FDF"/>
    <w:rsid w:val="00C030CB"/>
    <w:rsid w:val="00C03BD1"/>
    <w:rsid w:val="00C03FF8"/>
    <w:rsid w:val="00C04089"/>
    <w:rsid w:val="00C046BA"/>
    <w:rsid w:val="00C1008A"/>
    <w:rsid w:val="00C16B62"/>
    <w:rsid w:val="00C2181D"/>
    <w:rsid w:val="00C2260C"/>
    <w:rsid w:val="00C26D4F"/>
    <w:rsid w:val="00C27550"/>
    <w:rsid w:val="00C32977"/>
    <w:rsid w:val="00C446C1"/>
    <w:rsid w:val="00C44C1D"/>
    <w:rsid w:val="00C44F5C"/>
    <w:rsid w:val="00C4596B"/>
    <w:rsid w:val="00C472E9"/>
    <w:rsid w:val="00C564E5"/>
    <w:rsid w:val="00C7405A"/>
    <w:rsid w:val="00C74CF5"/>
    <w:rsid w:val="00C75D9C"/>
    <w:rsid w:val="00C762E1"/>
    <w:rsid w:val="00C8367B"/>
    <w:rsid w:val="00C8438F"/>
    <w:rsid w:val="00C8797A"/>
    <w:rsid w:val="00C9599D"/>
    <w:rsid w:val="00C97788"/>
    <w:rsid w:val="00CA048B"/>
    <w:rsid w:val="00CA0E5B"/>
    <w:rsid w:val="00CA4D69"/>
    <w:rsid w:val="00CA4F7C"/>
    <w:rsid w:val="00CB4197"/>
    <w:rsid w:val="00CB4390"/>
    <w:rsid w:val="00CB5E34"/>
    <w:rsid w:val="00CB7847"/>
    <w:rsid w:val="00CC23AA"/>
    <w:rsid w:val="00CC2CCA"/>
    <w:rsid w:val="00CC39AD"/>
    <w:rsid w:val="00CC5B22"/>
    <w:rsid w:val="00CC77F0"/>
    <w:rsid w:val="00CD3F5B"/>
    <w:rsid w:val="00CD45CD"/>
    <w:rsid w:val="00CD7735"/>
    <w:rsid w:val="00CE2A11"/>
    <w:rsid w:val="00CE3C48"/>
    <w:rsid w:val="00D0281D"/>
    <w:rsid w:val="00D03EDC"/>
    <w:rsid w:val="00D055AE"/>
    <w:rsid w:val="00D07247"/>
    <w:rsid w:val="00D0762B"/>
    <w:rsid w:val="00D25CFA"/>
    <w:rsid w:val="00D326D9"/>
    <w:rsid w:val="00D3284E"/>
    <w:rsid w:val="00D4026C"/>
    <w:rsid w:val="00D45FC8"/>
    <w:rsid w:val="00D46C1F"/>
    <w:rsid w:val="00D51860"/>
    <w:rsid w:val="00D51C7C"/>
    <w:rsid w:val="00D5627C"/>
    <w:rsid w:val="00D56742"/>
    <w:rsid w:val="00D608D7"/>
    <w:rsid w:val="00D61037"/>
    <w:rsid w:val="00D650E6"/>
    <w:rsid w:val="00D6738D"/>
    <w:rsid w:val="00D7307D"/>
    <w:rsid w:val="00D77E91"/>
    <w:rsid w:val="00D86C01"/>
    <w:rsid w:val="00D92854"/>
    <w:rsid w:val="00DA5E70"/>
    <w:rsid w:val="00DB1C6D"/>
    <w:rsid w:val="00DB2129"/>
    <w:rsid w:val="00DB283F"/>
    <w:rsid w:val="00DB66BA"/>
    <w:rsid w:val="00DC29BD"/>
    <w:rsid w:val="00DC5A1F"/>
    <w:rsid w:val="00DC5DF6"/>
    <w:rsid w:val="00DC66E3"/>
    <w:rsid w:val="00DC7447"/>
    <w:rsid w:val="00DD105B"/>
    <w:rsid w:val="00DD19E1"/>
    <w:rsid w:val="00DE0C65"/>
    <w:rsid w:val="00DF0C8D"/>
    <w:rsid w:val="00DF43B7"/>
    <w:rsid w:val="00DF4770"/>
    <w:rsid w:val="00DF521A"/>
    <w:rsid w:val="00E00CB8"/>
    <w:rsid w:val="00E022C6"/>
    <w:rsid w:val="00E0232C"/>
    <w:rsid w:val="00E025B6"/>
    <w:rsid w:val="00E0575A"/>
    <w:rsid w:val="00E05BFC"/>
    <w:rsid w:val="00E0692F"/>
    <w:rsid w:val="00E137FF"/>
    <w:rsid w:val="00E13BC7"/>
    <w:rsid w:val="00E17B11"/>
    <w:rsid w:val="00E214E2"/>
    <w:rsid w:val="00E22317"/>
    <w:rsid w:val="00E24F90"/>
    <w:rsid w:val="00E26442"/>
    <w:rsid w:val="00E27FB4"/>
    <w:rsid w:val="00E32AB7"/>
    <w:rsid w:val="00E33C0A"/>
    <w:rsid w:val="00E33E38"/>
    <w:rsid w:val="00E40C70"/>
    <w:rsid w:val="00E434BF"/>
    <w:rsid w:val="00E43EB0"/>
    <w:rsid w:val="00E51C6E"/>
    <w:rsid w:val="00E532A4"/>
    <w:rsid w:val="00E60224"/>
    <w:rsid w:val="00E61240"/>
    <w:rsid w:val="00E6341B"/>
    <w:rsid w:val="00E679BB"/>
    <w:rsid w:val="00E70C8A"/>
    <w:rsid w:val="00E71109"/>
    <w:rsid w:val="00E72778"/>
    <w:rsid w:val="00E85721"/>
    <w:rsid w:val="00E86606"/>
    <w:rsid w:val="00E870AF"/>
    <w:rsid w:val="00E91422"/>
    <w:rsid w:val="00EA1966"/>
    <w:rsid w:val="00EA2A9C"/>
    <w:rsid w:val="00EA4545"/>
    <w:rsid w:val="00EA62E3"/>
    <w:rsid w:val="00EB063E"/>
    <w:rsid w:val="00EB2C7F"/>
    <w:rsid w:val="00EB3480"/>
    <w:rsid w:val="00EB635F"/>
    <w:rsid w:val="00EB6EBA"/>
    <w:rsid w:val="00EC1527"/>
    <w:rsid w:val="00EC5331"/>
    <w:rsid w:val="00ED2C85"/>
    <w:rsid w:val="00ED4867"/>
    <w:rsid w:val="00EE03A5"/>
    <w:rsid w:val="00EE6CAC"/>
    <w:rsid w:val="00EE710B"/>
    <w:rsid w:val="00EF064D"/>
    <w:rsid w:val="00EF06FA"/>
    <w:rsid w:val="00EF192E"/>
    <w:rsid w:val="00EF304D"/>
    <w:rsid w:val="00EF3EBE"/>
    <w:rsid w:val="00EF6106"/>
    <w:rsid w:val="00EF61E1"/>
    <w:rsid w:val="00EF6550"/>
    <w:rsid w:val="00F00C45"/>
    <w:rsid w:val="00F00CB5"/>
    <w:rsid w:val="00F05751"/>
    <w:rsid w:val="00F07BBF"/>
    <w:rsid w:val="00F07DC3"/>
    <w:rsid w:val="00F10C8D"/>
    <w:rsid w:val="00F122CE"/>
    <w:rsid w:val="00F13E73"/>
    <w:rsid w:val="00F15C87"/>
    <w:rsid w:val="00F2792A"/>
    <w:rsid w:val="00F345A4"/>
    <w:rsid w:val="00F421B7"/>
    <w:rsid w:val="00F4293F"/>
    <w:rsid w:val="00F5272C"/>
    <w:rsid w:val="00F5492E"/>
    <w:rsid w:val="00F56897"/>
    <w:rsid w:val="00F60B17"/>
    <w:rsid w:val="00F70349"/>
    <w:rsid w:val="00F812D5"/>
    <w:rsid w:val="00F820A2"/>
    <w:rsid w:val="00F82CD7"/>
    <w:rsid w:val="00F8396C"/>
    <w:rsid w:val="00F86A49"/>
    <w:rsid w:val="00F87F3C"/>
    <w:rsid w:val="00F920E8"/>
    <w:rsid w:val="00F92DE3"/>
    <w:rsid w:val="00F9418D"/>
    <w:rsid w:val="00F97E27"/>
    <w:rsid w:val="00FA141A"/>
    <w:rsid w:val="00FA14F9"/>
    <w:rsid w:val="00FA15FF"/>
    <w:rsid w:val="00FA1C96"/>
    <w:rsid w:val="00FA4478"/>
    <w:rsid w:val="00FB2C8D"/>
    <w:rsid w:val="00FC1428"/>
    <w:rsid w:val="00FC467A"/>
    <w:rsid w:val="00FC6E0E"/>
    <w:rsid w:val="00FC6E15"/>
    <w:rsid w:val="00FD64B4"/>
    <w:rsid w:val="00FE3D6D"/>
    <w:rsid w:val="00FE53B7"/>
    <w:rsid w:val="00FE57E4"/>
    <w:rsid w:val="00FE76D6"/>
    <w:rsid w:val="00FF1464"/>
    <w:rsid w:val="00FF5FEC"/>
    <w:rsid w:val="078B2C05"/>
    <w:rsid w:val="0926FC66"/>
    <w:rsid w:val="0F963DEA"/>
    <w:rsid w:val="0FCB6641"/>
    <w:rsid w:val="0FD99F5B"/>
    <w:rsid w:val="11320E4B"/>
    <w:rsid w:val="12037C2C"/>
    <w:rsid w:val="12819BDE"/>
    <w:rsid w:val="195E2B4A"/>
    <w:rsid w:val="1FFEA2FE"/>
    <w:rsid w:val="270F662B"/>
    <w:rsid w:val="2802812A"/>
    <w:rsid w:val="2DFC51E9"/>
    <w:rsid w:val="3534B6BE"/>
    <w:rsid w:val="3A0BB8B1"/>
    <w:rsid w:val="3CC1EE4E"/>
    <w:rsid w:val="3D37E756"/>
    <w:rsid w:val="406415FB"/>
    <w:rsid w:val="40BB3164"/>
    <w:rsid w:val="458EA287"/>
    <w:rsid w:val="4BDBA033"/>
    <w:rsid w:val="4C6CAD7B"/>
    <w:rsid w:val="54865D23"/>
    <w:rsid w:val="5A4DD440"/>
    <w:rsid w:val="5A66FC9D"/>
    <w:rsid w:val="5B52D20A"/>
    <w:rsid w:val="5CEEA26B"/>
    <w:rsid w:val="5D6F7BB5"/>
    <w:rsid w:val="5E8B1D6F"/>
    <w:rsid w:val="62D4DE33"/>
    <w:rsid w:val="6B57BAFD"/>
    <w:rsid w:val="6CF38B5E"/>
    <w:rsid w:val="6DF8C045"/>
    <w:rsid w:val="71C6FC81"/>
    <w:rsid w:val="71D40E76"/>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53B94"/>
  <w15:chartTrackingRefBased/>
  <w15:docId w15:val="{5FDCE585-369B-4C71-8A5A-75543D7F3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5D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68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0232C"/>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D0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61F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F8E"/>
  </w:style>
  <w:style w:type="paragraph" w:styleId="Footer">
    <w:name w:val="footer"/>
    <w:basedOn w:val="Normal"/>
    <w:link w:val="FooterChar"/>
    <w:uiPriority w:val="99"/>
    <w:unhideWhenUsed/>
    <w:rsid w:val="00561F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F8E"/>
  </w:style>
  <w:style w:type="paragraph" w:styleId="ListParagraph">
    <w:name w:val="List Paragraph"/>
    <w:basedOn w:val="Normal"/>
    <w:uiPriority w:val="34"/>
    <w:qFormat/>
    <w:rsid w:val="005E6212"/>
    <w:pPr>
      <w:ind w:left="720"/>
      <w:contextualSpacing/>
    </w:pPr>
  </w:style>
  <w:style w:type="paragraph" w:styleId="BalloonText">
    <w:name w:val="Balloon Text"/>
    <w:basedOn w:val="Normal"/>
    <w:link w:val="BalloonTextChar"/>
    <w:uiPriority w:val="99"/>
    <w:semiHidden/>
    <w:unhideWhenUsed/>
    <w:rsid w:val="00110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C66"/>
    <w:rPr>
      <w:rFonts w:ascii="Segoe UI" w:hAnsi="Segoe UI" w:cs="Segoe UI"/>
      <w:sz w:val="18"/>
      <w:szCs w:val="18"/>
    </w:rPr>
  </w:style>
  <w:style w:type="paragraph" w:styleId="FootnoteText">
    <w:name w:val="footnote text"/>
    <w:basedOn w:val="Normal"/>
    <w:link w:val="FootnoteTextChar"/>
    <w:uiPriority w:val="99"/>
    <w:semiHidden/>
    <w:unhideWhenUsed/>
    <w:rsid w:val="000004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0437"/>
    <w:rPr>
      <w:sz w:val="20"/>
      <w:szCs w:val="20"/>
    </w:rPr>
  </w:style>
  <w:style w:type="character" w:styleId="FootnoteReference">
    <w:name w:val="footnote reference"/>
    <w:basedOn w:val="DefaultParagraphFont"/>
    <w:uiPriority w:val="99"/>
    <w:semiHidden/>
    <w:unhideWhenUsed/>
    <w:rsid w:val="00000437"/>
    <w:rPr>
      <w:vertAlign w:val="superscript"/>
    </w:rPr>
  </w:style>
  <w:style w:type="character" w:styleId="Hyperlink">
    <w:name w:val="Hyperlink"/>
    <w:basedOn w:val="DefaultParagraphFont"/>
    <w:uiPriority w:val="99"/>
    <w:unhideWhenUsed/>
    <w:rsid w:val="00C27550"/>
    <w:rPr>
      <w:color w:val="0563C1" w:themeColor="hyperlink"/>
      <w:u w:val="single"/>
    </w:rPr>
  </w:style>
  <w:style w:type="character" w:styleId="UnresolvedMention">
    <w:name w:val="Unresolved Mention"/>
    <w:basedOn w:val="DefaultParagraphFont"/>
    <w:uiPriority w:val="99"/>
    <w:semiHidden/>
    <w:unhideWhenUsed/>
    <w:rsid w:val="00C27550"/>
    <w:rPr>
      <w:color w:val="605E5C"/>
      <w:shd w:val="clear" w:color="auto" w:fill="E1DFDD"/>
    </w:rPr>
  </w:style>
  <w:style w:type="character" w:customStyle="1" w:styleId="Heading2Char">
    <w:name w:val="Heading 2 Char"/>
    <w:basedOn w:val="DefaultParagraphFont"/>
    <w:link w:val="Heading2"/>
    <w:uiPriority w:val="9"/>
    <w:rsid w:val="000E686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0232C"/>
    <w:rPr>
      <w:rFonts w:asciiTheme="majorHAnsi" w:eastAsiaTheme="majorEastAsia" w:hAnsiTheme="majorHAnsi" w:cstheme="majorBidi"/>
      <w:color w:val="1F3763" w:themeColor="accent1" w:themeShade="7F"/>
      <w:sz w:val="24"/>
      <w:szCs w:val="24"/>
      <w:lang w:val="en-GB"/>
    </w:rPr>
  </w:style>
  <w:style w:type="table" w:styleId="TableGrid">
    <w:name w:val="Table Grid"/>
    <w:basedOn w:val="TableNormal"/>
    <w:uiPriority w:val="39"/>
    <w:rsid w:val="00E02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A2DF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Spacing">
    <w:name w:val="No Spacing"/>
    <w:uiPriority w:val="1"/>
    <w:qFormat/>
    <w:rsid w:val="00B1405A"/>
    <w:pPr>
      <w:spacing w:after="0" w:line="240" w:lineRule="auto"/>
    </w:pPr>
  </w:style>
  <w:style w:type="paragraph" w:styleId="Revision">
    <w:name w:val="Revision"/>
    <w:hidden/>
    <w:uiPriority w:val="99"/>
    <w:semiHidden/>
    <w:rsid w:val="00B948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33390">
      <w:bodyDiv w:val="1"/>
      <w:marLeft w:val="0"/>
      <w:marRight w:val="0"/>
      <w:marTop w:val="0"/>
      <w:marBottom w:val="0"/>
      <w:divBdr>
        <w:top w:val="none" w:sz="0" w:space="0" w:color="auto"/>
        <w:left w:val="none" w:sz="0" w:space="0" w:color="auto"/>
        <w:bottom w:val="none" w:sz="0" w:space="0" w:color="auto"/>
        <w:right w:val="none" w:sz="0" w:space="0" w:color="auto"/>
      </w:divBdr>
    </w:div>
    <w:div w:id="260186030">
      <w:bodyDiv w:val="1"/>
      <w:marLeft w:val="0"/>
      <w:marRight w:val="0"/>
      <w:marTop w:val="0"/>
      <w:marBottom w:val="0"/>
      <w:divBdr>
        <w:top w:val="none" w:sz="0" w:space="0" w:color="auto"/>
        <w:left w:val="none" w:sz="0" w:space="0" w:color="auto"/>
        <w:bottom w:val="none" w:sz="0" w:space="0" w:color="auto"/>
        <w:right w:val="none" w:sz="0" w:space="0" w:color="auto"/>
      </w:divBdr>
    </w:div>
    <w:div w:id="378020968">
      <w:bodyDiv w:val="1"/>
      <w:marLeft w:val="0"/>
      <w:marRight w:val="0"/>
      <w:marTop w:val="0"/>
      <w:marBottom w:val="0"/>
      <w:divBdr>
        <w:top w:val="none" w:sz="0" w:space="0" w:color="auto"/>
        <w:left w:val="none" w:sz="0" w:space="0" w:color="auto"/>
        <w:bottom w:val="none" w:sz="0" w:space="0" w:color="auto"/>
        <w:right w:val="none" w:sz="0" w:space="0" w:color="auto"/>
      </w:divBdr>
    </w:div>
    <w:div w:id="492110745">
      <w:bodyDiv w:val="1"/>
      <w:marLeft w:val="0"/>
      <w:marRight w:val="0"/>
      <w:marTop w:val="0"/>
      <w:marBottom w:val="0"/>
      <w:divBdr>
        <w:top w:val="none" w:sz="0" w:space="0" w:color="auto"/>
        <w:left w:val="none" w:sz="0" w:space="0" w:color="auto"/>
        <w:bottom w:val="none" w:sz="0" w:space="0" w:color="auto"/>
        <w:right w:val="none" w:sz="0" w:space="0" w:color="auto"/>
      </w:divBdr>
    </w:div>
    <w:div w:id="531193887">
      <w:bodyDiv w:val="1"/>
      <w:marLeft w:val="0"/>
      <w:marRight w:val="0"/>
      <w:marTop w:val="0"/>
      <w:marBottom w:val="0"/>
      <w:divBdr>
        <w:top w:val="none" w:sz="0" w:space="0" w:color="auto"/>
        <w:left w:val="none" w:sz="0" w:space="0" w:color="auto"/>
        <w:bottom w:val="none" w:sz="0" w:space="0" w:color="auto"/>
        <w:right w:val="none" w:sz="0" w:space="0" w:color="auto"/>
      </w:divBdr>
    </w:div>
    <w:div w:id="821042857">
      <w:bodyDiv w:val="1"/>
      <w:marLeft w:val="0"/>
      <w:marRight w:val="0"/>
      <w:marTop w:val="0"/>
      <w:marBottom w:val="0"/>
      <w:divBdr>
        <w:top w:val="none" w:sz="0" w:space="0" w:color="auto"/>
        <w:left w:val="none" w:sz="0" w:space="0" w:color="auto"/>
        <w:bottom w:val="none" w:sz="0" w:space="0" w:color="auto"/>
        <w:right w:val="none" w:sz="0" w:space="0" w:color="auto"/>
      </w:divBdr>
    </w:div>
    <w:div w:id="851258260">
      <w:bodyDiv w:val="1"/>
      <w:marLeft w:val="0"/>
      <w:marRight w:val="0"/>
      <w:marTop w:val="0"/>
      <w:marBottom w:val="0"/>
      <w:divBdr>
        <w:top w:val="none" w:sz="0" w:space="0" w:color="auto"/>
        <w:left w:val="none" w:sz="0" w:space="0" w:color="auto"/>
        <w:bottom w:val="none" w:sz="0" w:space="0" w:color="auto"/>
        <w:right w:val="none" w:sz="0" w:space="0" w:color="auto"/>
      </w:divBdr>
    </w:div>
    <w:div w:id="870874574">
      <w:bodyDiv w:val="1"/>
      <w:marLeft w:val="0"/>
      <w:marRight w:val="0"/>
      <w:marTop w:val="0"/>
      <w:marBottom w:val="0"/>
      <w:divBdr>
        <w:top w:val="none" w:sz="0" w:space="0" w:color="auto"/>
        <w:left w:val="none" w:sz="0" w:space="0" w:color="auto"/>
        <w:bottom w:val="none" w:sz="0" w:space="0" w:color="auto"/>
        <w:right w:val="none" w:sz="0" w:space="0" w:color="auto"/>
      </w:divBdr>
    </w:div>
    <w:div w:id="1262564792">
      <w:bodyDiv w:val="1"/>
      <w:marLeft w:val="0"/>
      <w:marRight w:val="0"/>
      <w:marTop w:val="0"/>
      <w:marBottom w:val="0"/>
      <w:divBdr>
        <w:top w:val="none" w:sz="0" w:space="0" w:color="auto"/>
        <w:left w:val="none" w:sz="0" w:space="0" w:color="auto"/>
        <w:bottom w:val="none" w:sz="0" w:space="0" w:color="auto"/>
        <w:right w:val="none" w:sz="0" w:space="0" w:color="auto"/>
      </w:divBdr>
    </w:div>
    <w:div w:id="1530292730">
      <w:bodyDiv w:val="1"/>
      <w:marLeft w:val="0"/>
      <w:marRight w:val="0"/>
      <w:marTop w:val="0"/>
      <w:marBottom w:val="0"/>
      <w:divBdr>
        <w:top w:val="none" w:sz="0" w:space="0" w:color="auto"/>
        <w:left w:val="none" w:sz="0" w:space="0" w:color="auto"/>
        <w:bottom w:val="none" w:sz="0" w:space="0" w:color="auto"/>
        <w:right w:val="none" w:sz="0" w:space="0" w:color="auto"/>
      </w:divBdr>
    </w:div>
    <w:div w:id="1593589452">
      <w:bodyDiv w:val="1"/>
      <w:marLeft w:val="0"/>
      <w:marRight w:val="0"/>
      <w:marTop w:val="0"/>
      <w:marBottom w:val="0"/>
      <w:divBdr>
        <w:top w:val="none" w:sz="0" w:space="0" w:color="auto"/>
        <w:left w:val="none" w:sz="0" w:space="0" w:color="auto"/>
        <w:bottom w:val="none" w:sz="0" w:space="0" w:color="auto"/>
        <w:right w:val="none" w:sz="0" w:space="0" w:color="auto"/>
      </w:divBdr>
    </w:div>
    <w:div w:id="1747342401">
      <w:bodyDiv w:val="1"/>
      <w:marLeft w:val="0"/>
      <w:marRight w:val="0"/>
      <w:marTop w:val="0"/>
      <w:marBottom w:val="0"/>
      <w:divBdr>
        <w:top w:val="none" w:sz="0" w:space="0" w:color="auto"/>
        <w:left w:val="none" w:sz="0" w:space="0" w:color="auto"/>
        <w:bottom w:val="none" w:sz="0" w:space="0" w:color="auto"/>
        <w:right w:val="none" w:sz="0" w:space="0" w:color="auto"/>
      </w:divBdr>
    </w:div>
    <w:div w:id="178175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p26cycling.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cd.ie/healthytrinity/travel/KeyRoutes.php" TargetMode="External"/><Relationship Id="rId4" Type="http://schemas.openxmlformats.org/officeDocument/2006/relationships/settings" Target="settings.xml"/><Relationship Id="rId9" Type="http://schemas.openxmlformats.org/officeDocument/2006/relationships/hyperlink" Target="https://www.tcd.ie/healthytrinity/travel/KeyRoutes.php"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tcd.ie/healthytrinity/liveabledublin/" TargetMode="External"/><Relationship Id="rId2" Type="http://schemas.openxmlformats.org/officeDocument/2006/relationships/hyperlink" Target="https://www.tcd.ie/healthytrinity/travel/Stats.php" TargetMode="External"/><Relationship Id="rId1" Type="http://schemas.openxmlformats.org/officeDocument/2006/relationships/hyperlink" Target="https://www.tcd.ie/corporate-services/assets/pdf/annual-report-2018-2019.pdf" TargetMode="External"/><Relationship Id="rId5" Type="http://schemas.openxmlformats.org/officeDocument/2006/relationships/hyperlink" Target="https://www.tcd.ie/news_events/articles/trinity-wins-best-green-campus-award-2020/" TargetMode="External"/><Relationship Id="rId4" Type="http://schemas.openxmlformats.org/officeDocument/2006/relationships/hyperlink" Target="https://www.tcd.ie/healthytrinity/assets/documents/Covid-19/TCD%20DCC%20Covid%2019%20Submission%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3B1C4-8B0C-4673-BB07-4963A99C9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2123</TotalTime>
  <Pages>4</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11070</CharactersWithSpaces>
  <SharedDoc>false</SharedDoc>
  <HLinks>
    <vt:vector size="60" baseType="variant">
      <vt:variant>
        <vt:i4>65591</vt:i4>
      </vt:variant>
      <vt:variant>
        <vt:i4>6</vt:i4>
      </vt:variant>
      <vt:variant>
        <vt:i4>0</vt:i4>
      </vt:variant>
      <vt:variant>
        <vt:i4>5</vt:i4>
      </vt:variant>
      <vt:variant>
        <vt:lpwstr>mailto:mmckilln@tcd.ie</vt:lpwstr>
      </vt:variant>
      <vt:variant>
        <vt:lpwstr/>
      </vt:variant>
      <vt:variant>
        <vt:i4>2556026</vt:i4>
      </vt:variant>
      <vt:variant>
        <vt:i4>3</vt:i4>
      </vt:variant>
      <vt:variant>
        <vt:i4>0</vt:i4>
      </vt:variant>
      <vt:variant>
        <vt:i4>5</vt:i4>
      </vt:variant>
      <vt:variant>
        <vt:lpwstr>http://www.tcd.ie/collegehealth/healthytrinity</vt:lpwstr>
      </vt:variant>
      <vt:variant>
        <vt:lpwstr/>
      </vt:variant>
      <vt:variant>
        <vt:i4>1441830</vt:i4>
      </vt:variant>
      <vt:variant>
        <vt:i4>0</vt:i4>
      </vt:variant>
      <vt:variant>
        <vt:i4>0</vt:i4>
      </vt:variant>
      <vt:variant>
        <vt:i4>5</vt:i4>
      </vt:variant>
      <vt:variant>
        <vt:lpwstr>mailto:healthp@tcd.ie</vt:lpwstr>
      </vt:variant>
      <vt:variant>
        <vt:lpwstr/>
      </vt:variant>
      <vt:variant>
        <vt:i4>2556023</vt:i4>
      </vt:variant>
      <vt:variant>
        <vt:i4>18</vt:i4>
      </vt:variant>
      <vt:variant>
        <vt:i4>0</vt:i4>
      </vt:variant>
      <vt:variant>
        <vt:i4>5</vt:i4>
      </vt:variant>
      <vt:variant>
        <vt:lpwstr>https://www.tcd.ie/innovation-district/</vt:lpwstr>
      </vt:variant>
      <vt:variant>
        <vt:lpwstr/>
      </vt:variant>
      <vt:variant>
        <vt:i4>3997727</vt:i4>
      </vt:variant>
      <vt:variant>
        <vt:i4>15</vt:i4>
      </vt:variant>
      <vt:variant>
        <vt:i4>0</vt:i4>
      </vt:variant>
      <vt:variant>
        <vt:i4>5</vt:i4>
      </vt:variant>
      <vt:variant>
        <vt:lpwstr>https://www.nationaltransport.ie/wp-content/uploads/2014/04/Written_Report11.pdf</vt:lpwstr>
      </vt:variant>
      <vt:variant>
        <vt:lpwstr/>
      </vt:variant>
      <vt:variant>
        <vt:i4>65637</vt:i4>
      </vt:variant>
      <vt:variant>
        <vt:i4>12</vt:i4>
      </vt:variant>
      <vt:variant>
        <vt:i4>0</vt:i4>
      </vt:variant>
      <vt:variant>
        <vt:i4>5</vt:i4>
      </vt:variant>
      <vt:variant>
        <vt:lpwstr>https://www.tcd.ie/news_events/articles/trinity-wins-best-green-campus-award-2020/</vt:lpwstr>
      </vt:variant>
      <vt:variant>
        <vt:lpwstr/>
      </vt:variant>
      <vt:variant>
        <vt:i4>4653066</vt:i4>
      </vt:variant>
      <vt:variant>
        <vt:i4>9</vt:i4>
      </vt:variant>
      <vt:variant>
        <vt:i4>0</vt:i4>
      </vt:variant>
      <vt:variant>
        <vt:i4>5</vt:i4>
      </vt:variant>
      <vt:variant>
        <vt:lpwstr>https://www.tcd.ie/healthytrinity/assets/documents/Covid-19/TCD DCC Covid 19 Submission Final.pdf</vt:lpwstr>
      </vt:variant>
      <vt:variant>
        <vt:lpwstr/>
      </vt:variant>
      <vt:variant>
        <vt:i4>6225922</vt:i4>
      </vt:variant>
      <vt:variant>
        <vt:i4>6</vt:i4>
      </vt:variant>
      <vt:variant>
        <vt:i4>0</vt:i4>
      </vt:variant>
      <vt:variant>
        <vt:i4>5</vt:i4>
      </vt:variant>
      <vt:variant>
        <vt:lpwstr>https://www.tcd.ie/healthytrinity/liveabledublin/</vt:lpwstr>
      </vt:variant>
      <vt:variant>
        <vt:lpwstr/>
      </vt:variant>
      <vt:variant>
        <vt:i4>2752611</vt:i4>
      </vt:variant>
      <vt:variant>
        <vt:i4>3</vt:i4>
      </vt:variant>
      <vt:variant>
        <vt:i4>0</vt:i4>
      </vt:variant>
      <vt:variant>
        <vt:i4>5</vt:i4>
      </vt:variant>
      <vt:variant>
        <vt:lpwstr>https://www.tcd.ie/healthytrinity/travel/Stats.php</vt:lpwstr>
      </vt:variant>
      <vt:variant>
        <vt:lpwstr/>
      </vt:variant>
      <vt:variant>
        <vt:i4>4653128</vt:i4>
      </vt:variant>
      <vt:variant>
        <vt:i4>0</vt:i4>
      </vt:variant>
      <vt:variant>
        <vt:i4>0</vt:i4>
      </vt:variant>
      <vt:variant>
        <vt:i4>5</vt:i4>
      </vt:variant>
      <vt:variant>
        <vt:lpwstr>https://www.tcd.ie/corporate-services/assets/pdf/annual-report-2018-2019.pdf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Mullin</dc:creator>
  <cp:keywords/>
  <dc:description/>
  <cp:lastModifiedBy>Martina Mullin</cp:lastModifiedBy>
  <cp:revision>620</cp:revision>
  <dcterms:created xsi:type="dcterms:W3CDTF">2021-01-14T19:25:00Z</dcterms:created>
  <dcterms:modified xsi:type="dcterms:W3CDTF">2022-01-07T10:36:00Z</dcterms:modified>
</cp:coreProperties>
</file>