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a number of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e.g.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Santry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6BF9BA5D" w14:textId="3A929629" w:rsidR="00D0762B" w:rsidRPr="00E26442" w:rsidRDefault="00E26442" w:rsidP="00E26442">
      <w:pPr>
        <w:pStyle w:val="ListParagraph"/>
        <w:numPr>
          <w:ilvl w:val="0"/>
          <w:numId w:val="10"/>
        </w:numPr>
        <w:spacing w:after="0" w:line="240" w:lineRule="auto"/>
        <w:rPr>
          <w:lang w:val="en-GB"/>
        </w:rPr>
      </w:pPr>
      <w:r>
        <w:rPr>
          <w:b/>
          <w:bCs/>
          <w:lang w:val="en-GB"/>
        </w:rPr>
        <w:t xml:space="preserve">Engagement: </w:t>
      </w:r>
      <w:r w:rsidRPr="00E26442">
        <w:rPr>
          <w:lang w:val="en-GB"/>
        </w:rPr>
        <w:t>Trinity</w:t>
      </w:r>
      <w:r>
        <w:rPr>
          <w:b/>
          <w:bCs/>
          <w:lang w:val="en-GB"/>
        </w:rPr>
        <w:t xml:space="preserve"> </w:t>
      </w:r>
      <w:r>
        <w:rPr>
          <w:lang w:val="en-GB"/>
        </w:rPr>
        <w:t xml:space="preserve">feels the </w:t>
      </w:r>
      <w:r w:rsidR="00D0762B" w:rsidRPr="00F920E8">
        <w:rPr>
          <w:lang w:val="en-GB"/>
        </w:rPr>
        <w:t xml:space="preserve">public is missing from </w:t>
      </w:r>
      <w:r>
        <w:rPr>
          <w:lang w:val="en-GB"/>
        </w:rPr>
        <w:t xml:space="preserve">the </w:t>
      </w:r>
      <w:r w:rsidR="00D0762B" w:rsidRPr="00F920E8">
        <w:rPr>
          <w:lang w:val="en-GB"/>
        </w:rPr>
        <w:t>Plan</w:t>
      </w:r>
      <w:r w:rsidR="001D4D96">
        <w:rPr>
          <w:lang w:val="en-GB"/>
        </w:rPr>
        <w:t xml:space="preserve">.  </w:t>
      </w:r>
      <w:r w:rsidR="001D4D96" w:rsidRPr="00E26442">
        <w:rPr>
          <w:lang w:val="en-GB"/>
        </w:rPr>
        <w:t>O</w:t>
      </w:r>
      <w:r w:rsidR="00D0762B" w:rsidRPr="00E26442">
        <w:rPr>
          <w:lang w:val="en-GB"/>
        </w:rPr>
        <w:t>pportunities to reimagine the built environment and be partners in change</w:t>
      </w:r>
      <w:r w:rsidR="00292023">
        <w:rPr>
          <w:lang w:val="en-GB"/>
        </w:rPr>
        <w:t xml:space="preserve"> should be increased</w:t>
      </w:r>
      <w:r w:rsidR="00D0762B" w:rsidRPr="00E26442">
        <w:rPr>
          <w:lang w:val="en-GB"/>
        </w:rPr>
        <w:t>. This sort of ongoing capacity building is important for inspiring and sustaining change.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(e.g.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65AE5159" w14:textId="77777777" w:rsidR="00D0762B" w:rsidRDefault="00D0762B" w:rsidP="00A26066"/>
    <w:p w14:paraId="0086FDF9" w14:textId="0F99E46D" w:rsidR="00376BC2" w:rsidRDefault="00C03BD1" w:rsidP="00C03BD1">
      <w:pPr>
        <w:pStyle w:val="Heading2"/>
      </w:pPr>
      <w:r>
        <w:t xml:space="preserve">Trinity’s Feedback on </w:t>
      </w:r>
      <w:r w:rsidR="00AA7C5C">
        <w:t>the Strategy</w:t>
      </w:r>
    </w:p>
    <w:p w14:paraId="64BFCE8F" w14:textId="420D576B" w:rsidR="002107E2" w:rsidRDefault="00F00CB5" w:rsidP="001906DC">
      <w:pPr>
        <w:pStyle w:val="Heading2"/>
        <w:rPr>
          <w:lang w:val="en-GB"/>
        </w:rPr>
      </w:pPr>
      <w:r>
        <w:rPr>
          <w:lang w:val="en-GB"/>
        </w:rPr>
        <w:t xml:space="preserve">Chapter 17: </w:t>
      </w:r>
      <w:r w:rsidR="001906DC">
        <w:rPr>
          <w:lang w:val="en-GB"/>
        </w:rPr>
        <w:t>Strategy Outcomes</w:t>
      </w:r>
    </w:p>
    <w:p w14:paraId="67627E40" w14:textId="77777777" w:rsidR="00E6341B" w:rsidRDefault="008421E5" w:rsidP="008421E5">
      <w:pPr>
        <w:pStyle w:val="ListParagraph"/>
        <w:numPr>
          <w:ilvl w:val="0"/>
          <w:numId w:val="4"/>
        </w:numPr>
        <w:autoSpaceDE w:val="0"/>
        <w:autoSpaceDN w:val="0"/>
        <w:adjustRightInd w:val="0"/>
        <w:rPr>
          <w:rFonts w:ascii="Calibri" w:hAnsi="Calibri" w:cs="Calibri"/>
          <w:lang w:val="en-GB"/>
        </w:rPr>
      </w:pPr>
      <w:r w:rsidRPr="00E6341B">
        <w:rPr>
          <w:rFonts w:ascii="Calibri" w:hAnsi="Calibri" w:cs="Calibri"/>
          <w:b/>
          <w:bCs/>
          <w:lang w:val="en-GB"/>
        </w:rPr>
        <w:t xml:space="preserve">17.2.7 Mode Share: </w:t>
      </w:r>
      <w:r w:rsidRPr="00E6341B">
        <w:rPr>
          <w:rFonts w:ascii="Calibri" w:hAnsi="Calibri" w:cs="Calibri"/>
          <w:lang w:val="en-GB"/>
        </w:rPr>
        <w:t xml:space="preserve">These are disappointingly unambitious targets for mode share.  Projects usually suggest 3 levels of target: </w:t>
      </w:r>
    </w:p>
    <w:p w14:paraId="755CF31F" w14:textId="77777777" w:rsidR="00E6341B" w:rsidRDefault="008421E5" w:rsidP="00E6341B">
      <w:pPr>
        <w:pStyle w:val="ListParagraph"/>
        <w:numPr>
          <w:ilvl w:val="1"/>
          <w:numId w:val="4"/>
        </w:numPr>
        <w:autoSpaceDE w:val="0"/>
        <w:autoSpaceDN w:val="0"/>
        <w:adjustRightInd w:val="0"/>
        <w:rPr>
          <w:rFonts w:ascii="Calibri" w:hAnsi="Calibri" w:cs="Calibri"/>
          <w:lang w:val="en-GB"/>
        </w:rPr>
      </w:pPr>
      <w:r w:rsidRPr="00E6341B">
        <w:rPr>
          <w:rFonts w:ascii="Calibri" w:hAnsi="Calibri" w:cs="Calibri"/>
          <w:lang w:val="en-GB"/>
        </w:rPr>
        <w:lastRenderedPageBreak/>
        <w:t>Minimum required (currently stated) - what absolutely must be achieved</w:t>
      </w:r>
    </w:p>
    <w:p w14:paraId="4540E5F7" w14:textId="77777777" w:rsidR="00E6341B" w:rsidRDefault="008421E5" w:rsidP="00E6341B">
      <w:pPr>
        <w:pStyle w:val="ListParagraph"/>
        <w:numPr>
          <w:ilvl w:val="1"/>
          <w:numId w:val="4"/>
        </w:numPr>
        <w:autoSpaceDE w:val="0"/>
        <w:autoSpaceDN w:val="0"/>
        <w:adjustRightInd w:val="0"/>
        <w:rPr>
          <w:rFonts w:ascii="Calibri" w:hAnsi="Calibri" w:cs="Calibri"/>
          <w:lang w:val="en-GB"/>
        </w:rPr>
      </w:pPr>
      <w:r w:rsidRPr="00E6341B">
        <w:rPr>
          <w:rFonts w:ascii="Calibri" w:hAnsi="Calibri" w:cs="Calibri"/>
          <w:lang w:val="en-GB"/>
        </w:rPr>
        <w:t>Target - more ambitious</w:t>
      </w:r>
    </w:p>
    <w:p w14:paraId="58345C6D" w14:textId="58AECED0" w:rsidR="008421E5" w:rsidRPr="00E6341B" w:rsidRDefault="008421E5" w:rsidP="00E6341B">
      <w:pPr>
        <w:pStyle w:val="ListParagraph"/>
        <w:numPr>
          <w:ilvl w:val="1"/>
          <w:numId w:val="4"/>
        </w:numPr>
        <w:autoSpaceDE w:val="0"/>
        <w:autoSpaceDN w:val="0"/>
        <w:adjustRightInd w:val="0"/>
        <w:rPr>
          <w:rFonts w:ascii="Calibri" w:hAnsi="Calibri" w:cs="Calibri"/>
          <w:lang w:val="en-GB"/>
        </w:rPr>
      </w:pPr>
      <w:r w:rsidRPr="00E6341B">
        <w:rPr>
          <w:rFonts w:ascii="Calibri" w:hAnsi="Calibri" w:cs="Calibri"/>
          <w:lang w:val="en-GB"/>
        </w:rPr>
        <w:t>Stretch goal - most ambitious</w:t>
      </w:r>
    </w:p>
    <w:p w14:paraId="191FE0A9" w14:textId="36DDE622" w:rsidR="00B70296" w:rsidRDefault="00B70296" w:rsidP="00E54002">
      <w:pPr>
        <w:pStyle w:val="ListParagraph"/>
        <w:numPr>
          <w:ilvl w:val="0"/>
          <w:numId w:val="4"/>
        </w:numPr>
        <w:autoSpaceDE w:val="0"/>
        <w:autoSpaceDN w:val="0"/>
        <w:adjustRightInd w:val="0"/>
        <w:rPr>
          <w:rFonts w:ascii="Calibri" w:hAnsi="Calibri" w:cs="Calibri"/>
          <w:lang w:val="en-GB"/>
        </w:rPr>
      </w:pPr>
      <w:r w:rsidRPr="00B70296">
        <w:rPr>
          <w:rFonts w:ascii="Calibri" w:hAnsi="Calibri" w:cs="Calibri"/>
          <w:b/>
          <w:bCs/>
          <w:lang w:val="en-GB"/>
        </w:rPr>
        <w:t xml:space="preserve">17.3.4 Safety: </w:t>
      </w:r>
      <w:r w:rsidRPr="00B70296">
        <w:rPr>
          <w:rFonts w:ascii="Calibri" w:hAnsi="Calibri" w:cs="Calibri"/>
          <w:lang w:val="en-GB"/>
        </w:rPr>
        <w:t xml:space="preserve">Trinity would like the NTA to aim for zero pedestrian and cyclist deaths - this should be part of the framing of this strategy.  It has been achieved in other countries - let's look to their example.  </w:t>
      </w:r>
      <w:hyperlink r:id="rId10" w:history="1">
        <w:r w:rsidR="00043841" w:rsidRPr="00C159E4">
          <w:rPr>
            <w:rStyle w:val="Hyperlink"/>
            <w:rFonts w:ascii="Calibri" w:hAnsi="Calibri" w:cs="Calibri"/>
            <w:lang w:val="en-GB"/>
          </w:rPr>
          <w:t>https://www.wired.co.uk/article/oslo-pedestrianisation</w:t>
        </w:r>
      </w:hyperlink>
    </w:p>
    <w:p w14:paraId="57EA428B" w14:textId="56878E31" w:rsidR="00043841" w:rsidRPr="00BB0363" w:rsidRDefault="00F86A49" w:rsidP="00BB0363">
      <w:pPr>
        <w:pStyle w:val="ListParagraph"/>
        <w:numPr>
          <w:ilvl w:val="0"/>
          <w:numId w:val="4"/>
        </w:numPr>
      </w:pPr>
      <w:r w:rsidRPr="00F86A49">
        <w:rPr>
          <w:rFonts w:eastAsia="Times New Roman"/>
          <w:b/>
          <w:bCs/>
        </w:rPr>
        <w:t xml:space="preserve">17.4.3 Trips to Work: </w:t>
      </w:r>
      <w:r w:rsidR="0050428E">
        <w:rPr>
          <w:rFonts w:eastAsia="Times New Roman"/>
          <w:b/>
          <w:bCs/>
        </w:rPr>
        <w:t xml:space="preserve"> </w:t>
      </w:r>
      <w:r w:rsidR="00043841" w:rsidRPr="0050428E">
        <w:rPr>
          <w:color w:val="000000"/>
          <w:shd w:val="clear" w:color="auto" w:fill="FFFFFF"/>
        </w:rPr>
        <w:t>This section (and the entire document) is silent on the Cycle to work Scheme, which arose out of the NTA Smarter Travel Policy 2009.  T</w:t>
      </w:r>
      <w:r w:rsidR="00043841">
        <w:t>rinity has partnered with the National Transport Authority as a Smarter Travel Campus since 2011.</w:t>
      </w:r>
      <w:r w:rsidR="009334F0">
        <w:t xml:space="preserve">  </w:t>
      </w:r>
      <w:r w:rsidR="00043841" w:rsidRPr="009334F0">
        <w:rPr>
          <w:color w:val="000000"/>
          <w:shd w:val="clear" w:color="auto" w:fill="FFFFFF"/>
        </w:rPr>
        <w:t xml:space="preserve">The authors of the document – the National Transport Authority -operates under the aegis of the Department of Transport.  According to the Irish Times, a Department of Transport spending review </w:t>
      </w:r>
      <w:hyperlink r:id="rId11" w:history="1">
        <w:r w:rsidR="00043841" w:rsidRPr="009334F0">
          <w:rPr>
            <w:rStyle w:val="Hyperlink"/>
            <w:shd w:val="clear" w:color="auto" w:fill="FFFFFF"/>
          </w:rPr>
          <w:t>here</w:t>
        </w:r>
      </w:hyperlink>
      <w:r w:rsidR="00043841" w:rsidRPr="009334F0">
        <w:rPr>
          <w:color w:val="000000"/>
          <w:shd w:val="clear" w:color="auto" w:fill="FFFFFF"/>
        </w:rPr>
        <w:t xml:space="preserve"> found there are no official figures on the scheme uptake or cost. (An ebike scheme was introduced in August 2020)</w:t>
      </w:r>
      <w:r w:rsidR="009334F0">
        <w:rPr>
          <w:color w:val="000000"/>
          <w:shd w:val="clear" w:color="auto" w:fill="FFFFFF"/>
        </w:rPr>
        <w:t xml:space="preserve">  </w:t>
      </w:r>
      <w:hyperlink r:id="rId12" w:history="1">
        <w:r w:rsidR="009334F0" w:rsidRPr="00C159E4">
          <w:rPr>
            <w:rStyle w:val="Hyperlink"/>
            <w:shd w:val="clear" w:color="auto" w:fill="FFFFFF"/>
          </w:rPr>
          <w:t>https://www.irishtimes.com/opinion/editorial/the-irish-times-view-on-the-bike-to-work-scheme-1.4734909</w:t>
        </w:r>
      </w:hyperlink>
      <w:r w:rsidR="00043841" w:rsidRPr="009334F0">
        <w:rPr>
          <w:color w:val="000000"/>
          <w:shd w:val="clear" w:color="auto" w:fill="FFFFFF"/>
        </w:rPr>
        <w:t xml:space="preserve"> </w:t>
      </w:r>
      <w:r w:rsidR="00BB0363">
        <w:rPr>
          <w:color w:val="000000"/>
          <w:shd w:val="clear" w:color="auto" w:fill="FFFFFF"/>
        </w:rPr>
        <w:t xml:space="preserve">  </w:t>
      </w:r>
      <w:r w:rsidR="009334F0" w:rsidRPr="00BB0363">
        <w:rPr>
          <w:color w:val="000000"/>
          <w:shd w:val="clear" w:color="auto" w:fill="FFFFFF"/>
        </w:rPr>
        <w:t xml:space="preserve">Trinity would like </w:t>
      </w:r>
      <w:r w:rsidR="00BB0363" w:rsidRPr="00BB0363">
        <w:rPr>
          <w:color w:val="000000"/>
          <w:shd w:val="clear" w:color="auto" w:fill="FFFFFF"/>
        </w:rPr>
        <w:t>to see a r</w:t>
      </w:r>
      <w:r w:rsidR="00043841" w:rsidRPr="00BB0363">
        <w:rPr>
          <w:color w:val="000000"/>
          <w:shd w:val="clear" w:color="auto" w:fill="FFFFFF"/>
        </w:rPr>
        <w:t xml:space="preserve">eference </w:t>
      </w:r>
      <w:r w:rsidR="00BB0363" w:rsidRPr="00BB0363">
        <w:rPr>
          <w:color w:val="000000"/>
          <w:shd w:val="clear" w:color="auto" w:fill="FFFFFF"/>
        </w:rPr>
        <w:t xml:space="preserve">to </w:t>
      </w:r>
      <w:r w:rsidR="00043841" w:rsidRPr="00BB0363">
        <w:rPr>
          <w:color w:val="000000"/>
          <w:shd w:val="clear" w:color="auto" w:fill="FFFFFF"/>
        </w:rPr>
        <w:t xml:space="preserve">the Cycle to Work scheme in this section, and (say, under Section 19.2 </w:t>
      </w:r>
      <w:r w:rsidR="00043841" w:rsidRPr="00BB0363">
        <w:rPr>
          <w:i/>
          <w:iCs/>
          <w:color w:val="000000"/>
          <w:shd w:val="clear" w:color="auto" w:fill="FFFFFF"/>
        </w:rPr>
        <w:t>Sources</w:t>
      </w:r>
      <w:r w:rsidR="00043841" w:rsidRPr="00BB0363">
        <w:rPr>
          <w:color w:val="000000"/>
          <w:shd w:val="clear" w:color="auto" w:fill="FFFFFF"/>
        </w:rPr>
        <w:t>) a commitment to work with the Department of Transport to gather the data on the scheme as part of the measures, indicators and monitoring of the impact of the 2022-2042 Strategy.</w:t>
      </w:r>
    </w:p>
    <w:p w14:paraId="7855D25E" w14:textId="192B53EF" w:rsidR="00043841" w:rsidRPr="00B70296" w:rsidRDefault="00043841" w:rsidP="00480B0A">
      <w:pPr>
        <w:pStyle w:val="ListParagraph"/>
        <w:autoSpaceDE w:val="0"/>
        <w:autoSpaceDN w:val="0"/>
        <w:adjustRightInd w:val="0"/>
        <w:ind w:left="360"/>
        <w:rPr>
          <w:rFonts w:ascii="Calibri" w:hAnsi="Calibri" w:cs="Calibri"/>
          <w:lang w:val="en-GB"/>
        </w:rPr>
      </w:pPr>
    </w:p>
    <w:p w14:paraId="4E56C536" w14:textId="77777777" w:rsidR="000B672A" w:rsidRDefault="000B672A" w:rsidP="000B672A">
      <w:pPr>
        <w:pStyle w:val="Heading2"/>
      </w:pPr>
      <w:r>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study or work on our College Green Campus.  Whilst the central work of the university is education and research, Trinity also has 661 on campus student beds on College Green/Pearse Street, approximately 1 million visitors per year to the Book of Kells exhibition and multiple cafes and gift shops open to the public.  Our conference, private dining and banqueting services are busy year-round and from mid-May to mid-August we operate as the largest 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LiveableDublin events, participants defined and explored the question, “How can we speed up change in Dublin to make it more liveable?”</w:t>
      </w:r>
      <w:r>
        <w:rPr>
          <w:rStyle w:val="FootnoteReference"/>
        </w:rPr>
        <w:footnoteReference w:id="4"/>
      </w:r>
      <w:r>
        <w:t xml:space="preserve">.   Trinity made a submission to Dublin </w:t>
      </w:r>
      <w:r>
        <w:lastRenderedPageBreak/>
        <w:t>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13"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t>Figure 1. Shows how Trinity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t>Investment in bus priority and bus service improvements – BusConnects</w:t>
      </w:r>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lastRenderedPageBreak/>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9658" w14:textId="77777777" w:rsidR="00EF61E1" w:rsidRDefault="00EF61E1" w:rsidP="00561F8E">
      <w:pPr>
        <w:spacing w:after="0" w:line="240" w:lineRule="auto"/>
      </w:pPr>
      <w:r>
        <w:separator/>
      </w:r>
    </w:p>
  </w:endnote>
  <w:endnote w:type="continuationSeparator" w:id="0">
    <w:p w14:paraId="0D47E0C9" w14:textId="77777777" w:rsidR="00EF61E1" w:rsidRDefault="00EF61E1" w:rsidP="00561F8E">
      <w:pPr>
        <w:spacing w:after="0" w:line="240" w:lineRule="auto"/>
      </w:pPr>
      <w:r>
        <w:continuationSeparator/>
      </w:r>
    </w:p>
  </w:endnote>
  <w:endnote w:type="continuationNotice" w:id="1">
    <w:p w14:paraId="70B7BA2E" w14:textId="77777777" w:rsidR="00EF61E1" w:rsidRDefault="00EF6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7003" w14:textId="77777777" w:rsidR="00EF61E1" w:rsidRDefault="00EF61E1" w:rsidP="00561F8E">
      <w:pPr>
        <w:spacing w:after="0" w:line="240" w:lineRule="auto"/>
      </w:pPr>
      <w:r>
        <w:separator/>
      </w:r>
    </w:p>
  </w:footnote>
  <w:footnote w:type="continuationSeparator" w:id="0">
    <w:p w14:paraId="49249205" w14:textId="77777777" w:rsidR="00EF61E1" w:rsidRDefault="00EF61E1" w:rsidP="00561F8E">
      <w:pPr>
        <w:spacing w:after="0" w:line="240" w:lineRule="auto"/>
      </w:pPr>
      <w:r>
        <w:continuationSeparator/>
      </w:r>
    </w:p>
  </w:footnote>
  <w:footnote w:type="continuationNotice" w:id="1">
    <w:p w14:paraId="4D1CAEEC" w14:textId="77777777" w:rsidR="00EF61E1" w:rsidRDefault="00EF61E1">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5929"/>
    <w:rsid w:val="00717ABE"/>
    <w:rsid w:val="00723C08"/>
    <w:rsid w:val="00724E70"/>
    <w:rsid w:val="00725C4F"/>
    <w:rsid w:val="0073337E"/>
    <w:rsid w:val="00734C38"/>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p26cyc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ishtimes.com/opinion/editorial/the-irish-times-view-on-the-bike-to-work-scheme-1.47349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llerac\Downloads\205027_7834435b-7997-4c58-886f-6809e9f3fde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red.co.uk/article/oslo-pedestrianisation" TargetMode="Externa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620</cp:revision>
  <dcterms:created xsi:type="dcterms:W3CDTF">2021-01-14T19:25:00Z</dcterms:created>
  <dcterms:modified xsi:type="dcterms:W3CDTF">2022-01-07T10:42:00Z</dcterms:modified>
</cp:coreProperties>
</file>