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2380" w14:textId="0DC95878" w:rsidR="00561F8E" w:rsidRDefault="00561F8E" w:rsidP="00055D01">
      <w:pPr>
        <w:pStyle w:val="Heading1"/>
      </w:pPr>
      <w:r>
        <w:rPr>
          <w:noProof/>
        </w:rPr>
        <w:drawing>
          <wp:anchor distT="0" distB="0" distL="114300" distR="114300" simplePos="0" relativeHeight="251658240" behindDoc="0" locked="0" layoutInCell="1" allowOverlap="1" wp14:anchorId="59C69A13" wp14:editId="0053B203">
            <wp:simplePos x="0" y="0"/>
            <wp:positionH relativeFrom="margin">
              <wp:align>left</wp:align>
            </wp:positionH>
            <wp:positionV relativeFrom="paragraph">
              <wp:posOffset>-510696</wp:posOffset>
            </wp:positionV>
            <wp:extent cx="2222662" cy="7677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62" cy="767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FBE1A" w14:textId="64AF06DA" w:rsidR="00055D01" w:rsidRDefault="00055D01" w:rsidP="00055D01">
      <w:pPr>
        <w:pStyle w:val="Heading1"/>
      </w:pPr>
      <w:r>
        <w:t xml:space="preserve">Response to </w:t>
      </w:r>
      <w:r w:rsidR="00507141">
        <w:t xml:space="preserve">National Transport Authority Greater Dublin Area </w:t>
      </w:r>
      <w:r w:rsidR="0059712B">
        <w:t xml:space="preserve">Transport Strategy </w:t>
      </w:r>
      <w:r w:rsidR="002A6543">
        <w:t>2022–2042 Consultation</w:t>
      </w:r>
    </w:p>
    <w:p w14:paraId="2D7E8666" w14:textId="7CBD0DD2" w:rsidR="00055D01" w:rsidRDefault="0059712B">
      <w:r>
        <w:t xml:space="preserve">Date: </w:t>
      </w:r>
      <w:r w:rsidR="00C8438F">
        <w:t>7</w:t>
      </w:r>
      <w:r w:rsidR="00053808" w:rsidRPr="00053808">
        <w:rPr>
          <w:vertAlign w:val="superscript"/>
        </w:rPr>
        <w:t>th</w:t>
      </w:r>
      <w:r w:rsidR="00053808">
        <w:t xml:space="preserve"> </w:t>
      </w:r>
      <w:r w:rsidR="00F920E8">
        <w:t xml:space="preserve">January </w:t>
      </w:r>
      <w:r w:rsidR="00053808">
        <w:t>202</w:t>
      </w:r>
      <w:r w:rsidR="00F920E8">
        <w:t>2</w:t>
      </w:r>
    </w:p>
    <w:p w14:paraId="16F9EE38" w14:textId="543A4670" w:rsidR="00453AC1" w:rsidRDefault="00453AC1" w:rsidP="008F6C0A">
      <w:pPr>
        <w:pStyle w:val="Heading3"/>
      </w:pPr>
      <w:r>
        <w:t>Summary</w:t>
      </w:r>
      <w:r w:rsidR="001A1CA9">
        <w:t xml:space="preserve">  </w:t>
      </w:r>
    </w:p>
    <w:p w14:paraId="50667980" w14:textId="51FEF998" w:rsidR="00453AC1" w:rsidRDefault="001512B6" w:rsidP="001512B6">
      <w:r>
        <w:t>The NTA GDA Transport Strategy is a wide-ranging, progressive strategy which Trinity welcomes</w:t>
      </w:r>
      <w:r w:rsidR="00EE710B">
        <w:t xml:space="preserve">.  We thank the NTA for their work and make a number of comments summarised below. </w:t>
      </w:r>
    </w:p>
    <w:p w14:paraId="278FA623" w14:textId="6F632077" w:rsidR="001C061A" w:rsidRDefault="001C061A" w:rsidP="001C061A">
      <w:pPr>
        <w:pStyle w:val="ListParagraph"/>
        <w:numPr>
          <w:ilvl w:val="0"/>
          <w:numId w:val="9"/>
        </w:numPr>
      </w:pPr>
      <w:r>
        <w:t xml:space="preserve">Trinity would like this action plan to be implemented as a matter of urgency given the current biodiversity and climate crisis.  </w:t>
      </w:r>
    </w:p>
    <w:p w14:paraId="48E16EC4" w14:textId="662B67E9" w:rsidR="00D6738D" w:rsidRDefault="00D6738D" w:rsidP="00D6738D">
      <w:pPr>
        <w:pStyle w:val="ListParagraph"/>
        <w:numPr>
          <w:ilvl w:val="0"/>
          <w:numId w:val="9"/>
        </w:numPr>
      </w:pPr>
      <w:r>
        <w:t xml:space="preserve">Trinity is frustrated at the delays in big transport projects to date e.g. Metro Link and light rail extensions.  </w:t>
      </w:r>
    </w:p>
    <w:p w14:paraId="2462F8C8" w14:textId="2A234EB8" w:rsidR="00453AC1" w:rsidRDefault="00E51C6E" w:rsidP="006579E0">
      <w:pPr>
        <w:pStyle w:val="ListParagraph"/>
        <w:numPr>
          <w:ilvl w:val="0"/>
          <w:numId w:val="9"/>
        </w:numPr>
      </w:pPr>
      <w:r>
        <w:t xml:space="preserve">Trinity has responded to the Strategy with a focus on the </w:t>
      </w:r>
      <w:hyperlink r:id="rId9" w:history="1">
        <w:r w:rsidRPr="005C0B51">
          <w:rPr>
            <w:rStyle w:val="Hyperlink"/>
          </w:rPr>
          <w:t>four priority routes</w:t>
        </w:r>
      </w:hyperlink>
      <w:r>
        <w:t xml:space="preserve"> between our campuses: </w:t>
      </w:r>
      <w:r w:rsidR="00C7405A" w:rsidRPr="006579E0">
        <w:rPr>
          <w:lang w:val="en-GB"/>
        </w:rPr>
        <w:t xml:space="preserve">Trinity Hall to College Green, on Pearse Street, on Nassau Street and from College Green to St. James’s Hospital.  </w:t>
      </w:r>
      <w:r w:rsidR="0054329F" w:rsidRPr="006579E0">
        <w:rPr>
          <w:lang w:val="en-GB"/>
        </w:rPr>
        <w:t xml:space="preserve">Other routes of importance to Trinity include </w:t>
      </w:r>
      <w:r w:rsidR="003F3839" w:rsidRPr="006579E0">
        <w:rPr>
          <w:lang w:val="en-GB"/>
        </w:rPr>
        <w:t xml:space="preserve">College Green to </w:t>
      </w:r>
      <w:proofErr w:type="spellStart"/>
      <w:r w:rsidR="003F3839" w:rsidRPr="006579E0">
        <w:rPr>
          <w:lang w:val="en-GB"/>
        </w:rPr>
        <w:t>Santry</w:t>
      </w:r>
      <w:proofErr w:type="spellEnd"/>
      <w:r w:rsidR="003F3839" w:rsidRPr="006579E0">
        <w:rPr>
          <w:lang w:val="en-GB"/>
        </w:rPr>
        <w:t xml:space="preserve"> and College Green to Iveagh </w:t>
      </w:r>
      <w:r w:rsidR="00314F6F" w:rsidRPr="006579E0">
        <w:rPr>
          <w:lang w:val="en-GB"/>
        </w:rPr>
        <w:t>Grounds</w:t>
      </w:r>
      <w:r w:rsidR="003F3839" w:rsidRPr="006579E0">
        <w:rPr>
          <w:lang w:val="en-GB"/>
        </w:rPr>
        <w:t xml:space="preserve">.  </w:t>
      </w:r>
    </w:p>
    <w:p w14:paraId="752A2752" w14:textId="744C7383" w:rsidR="00453AC1" w:rsidRDefault="006841FB" w:rsidP="006579E0">
      <w:pPr>
        <w:pStyle w:val="ListParagraph"/>
        <w:numPr>
          <w:ilvl w:val="0"/>
          <w:numId w:val="9"/>
        </w:numPr>
      </w:pPr>
      <w:r>
        <w:t xml:space="preserve">Trinity would like </w:t>
      </w:r>
      <w:r w:rsidR="000224BE">
        <w:t xml:space="preserve">more </w:t>
      </w:r>
      <w:r>
        <w:t>focus on civic spaces, particularly College Green</w:t>
      </w:r>
      <w:r w:rsidR="00B25A88">
        <w:t xml:space="preserve">, and </w:t>
      </w:r>
      <w:r w:rsidR="00F820A2">
        <w:t>would like</w:t>
      </w:r>
      <w:r w:rsidR="00B25A88">
        <w:t xml:space="preserve"> biodiversity</w:t>
      </w:r>
      <w:r w:rsidR="00F820A2">
        <w:t xml:space="preserve"> to be considered in all changes</w:t>
      </w:r>
      <w:r w:rsidR="00D0281D">
        <w:t xml:space="preserve"> to the built environment</w:t>
      </w:r>
      <w:r w:rsidR="00B25A88">
        <w:t xml:space="preserve">.  </w:t>
      </w:r>
    </w:p>
    <w:p w14:paraId="5D28A39A" w14:textId="74FC424E" w:rsidR="00A24DA4" w:rsidRPr="00763510" w:rsidRDefault="00B82D44" w:rsidP="00A26066">
      <w:pPr>
        <w:pStyle w:val="ListParagraph"/>
        <w:numPr>
          <w:ilvl w:val="0"/>
          <w:numId w:val="9"/>
        </w:numPr>
      </w:pPr>
      <w:r w:rsidRPr="006579E0">
        <w:rPr>
          <w:lang w:val="en-GB"/>
        </w:rPr>
        <w:t xml:space="preserve">The Healthy Ireland Framework is an all of government initiative that sets goals across all departments.  Given how important transport is, could a similar approach be taken for this strategy?  Trinity is concerned that delivering the strategy will be delayed by lack of political support.  </w:t>
      </w:r>
    </w:p>
    <w:p w14:paraId="0C88B0B0" w14:textId="152DDF92" w:rsidR="00763510" w:rsidRPr="000F215C" w:rsidRDefault="00763510" w:rsidP="00A26066">
      <w:pPr>
        <w:pStyle w:val="ListParagraph"/>
        <w:numPr>
          <w:ilvl w:val="0"/>
          <w:numId w:val="9"/>
        </w:numPr>
      </w:pPr>
      <w:r>
        <w:rPr>
          <w:lang w:val="en-GB"/>
        </w:rPr>
        <w:t xml:space="preserve">Trinity is pleased to see the Strategy state that car-centric urban environments have a disproportionately adverse impact on </w:t>
      </w:r>
      <w:r w:rsidR="00112E1C">
        <w:rPr>
          <w:lang w:val="en-GB"/>
        </w:rPr>
        <w:t>certain groups.  Trinity would like children added to the list of groups</w:t>
      </w:r>
      <w:r w:rsidR="0093318C">
        <w:rPr>
          <w:lang w:val="en-GB"/>
        </w:rPr>
        <w:t xml:space="preserve"> adversely affected</w:t>
      </w:r>
      <w:r w:rsidR="00112E1C">
        <w:rPr>
          <w:lang w:val="en-GB"/>
        </w:rPr>
        <w:t xml:space="preserve">.  Trinity would </w:t>
      </w:r>
      <w:r w:rsidR="0093318C">
        <w:rPr>
          <w:lang w:val="en-GB"/>
        </w:rPr>
        <w:t xml:space="preserve">also </w:t>
      </w:r>
      <w:r w:rsidR="00112E1C">
        <w:rPr>
          <w:lang w:val="en-GB"/>
        </w:rPr>
        <w:t xml:space="preserve">like wording that states cars will no longer be permitted to dominate the urban environment. </w:t>
      </w:r>
      <w:r>
        <w:rPr>
          <w:lang w:val="en-GB"/>
        </w:rPr>
        <w:t xml:space="preserve"> </w:t>
      </w:r>
    </w:p>
    <w:p w14:paraId="4F62DD18" w14:textId="7749191D" w:rsidR="00517557" w:rsidRDefault="001503ED" w:rsidP="00171163">
      <w:pPr>
        <w:pStyle w:val="ListParagraph"/>
        <w:numPr>
          <w:ilvl w:val="0"/>
          <w:numId w:val="9"/>
        </w:numPr>
      </w:pPr>
      <w:r>
        <w:t xml:space="preserve">Trinity </w:t>
      </w:r>
      <w:r w:rsidR="003C0A52">
        <w:t xml:space="preserve">is disappointed by </w:t>
      </w:r>
      <w:r w:rsidR="00E870AF">
        <w:t xml:space="preserve">the lack of detail on cycling and </w:t>
      </w:r>
      <w:r>
        <w:t xml:space="preserve">would like the NTA to consider the recent EU </w:t>
      </w:r>
      <w:r w:rsidR="003B33BC">
        <w:t>Commission d</w:t>
      </w:r>
      <w:r>
        <w:t xml:space="preserve">ecision </w:t>
      </w:r>
      <w:r w:rsidR="00704AF5">
        <w:t xml:space="preserve">which recognises cycling </w:t>
      </w:r>
      <w:r w:rsidR="003B33BC">
        <w:t xml:space="preserve">as well as other active modes as a priority for </w:t>
      </w:r>
      <w:r w:rsidR="00704AF5">
        <w:t xml:space="preserve">moving people in cities/towns.  </w:t>
      </w:r>
    </w:p>
    <w:p w14:paraId="25AC8CAB" w14:textId="62A42D18" w:rsidR="00453AC1" w:rsidRDefault="00D0762B" w:rsidP="00171163">
      <w:pPr>
        <w:pStyle w:val="Heading2"/>
      </w:pPr>
      <w:r>
        <w:t xml:space="preserve">General points: </w:t>
      </w:r>
    </w:p>
    <w:p w14:paraId="6BF9BA5D" w14:textId="3A929629" w:rsidR="00D0762B" w:rsidRPr="00E26442" w:rsidRDefault="00E26442" w:rsidP="00E26442">
      <w:pPr>
        <w:pStyle w:val="ListParagraph"/>
        <w:numPr>
          <w:ilvl w:val="0"/>
          <w:numId w:val="10"/>
        </w:numPr>
        <w:spacing w:after="0" w:line="240" w:lineRule="auto"/>
        <w:rPr>
          <w:lang w:val="en-GB"/>
        </w:rPr>
      </w:pPr>
      <w:r>
        <w:rPr>
          <w:b/>
          <w:bCs/>
          <w:lang w:val="en-GB"/>
        </w:rPr>
        <w:t xml:space="preserve">Engagement: </w:t>
      </w:r>
      <w:r w:rsidRPr="00E26442">
        <w:rPr>
          <w:lang w:val="en-GB"/>
        </w:rPr>
        <w:t>Trinity</w:t>
      </w:r>
      <w:r>
        <w:rPr>
          <w:b/>
          <w:bCs/>
          <w:lang w:val="en-GB"/>
        </w:rPr>
        <w:t xml:space="preserve"> </w:t>
      </w:r>
      <w:r>
        <w:rPr>
          <w:lang w:val="en-GB"/>
        </w:rPr>
        <w:t xml:space="preserve">feels the </w:t>
      </w:r>
      <w:r w:rsidR="00D0762B" w:rsidRPr="00F920E8">
        <w:rPr>
          <w:lang w:val="en-GB"/>
        </w:rPr>
        <w:t xml:space="preserve">public is missing from </w:t>
      </w:r>
      <w:r>
        <w:rPr>
          <w:lang w:val="en-GB"/>
        </w:rPr>
        <w:t xml:space="preserve">the </w:t>
      </w:r>
      <w:r w:rsidR="00D0762B" w:rsidRPr="00F920E8">
        <w:rPr>
          <w:lang w:val="en-GB"/>
        </w:rPr>
        <w:t>Plan</w:t>
      </w:r>
      <w:r w:rsidR="001D4D96">
        <w:rPr>
          <w:lang w:val="en-GB"/>
        </w:rPr>
        <w:t xml:space="preserve">.  </w:t>
      </w:r>
      <w:r w:rsidR="001D4D96" w:rsidRPr="00E26442">
        <w:rPr>
          <w:lang w:val="en-GB"/>
        </w:rPr>
        <w:t>O</w:t>
      </w:r>
      <w:r w:rsidR="00D0762B" w:rsidRPr="00E26442">
        <w:rPr>
          <w:lang w:val="en-GB"/>
        </w:rPr>
        <w:t>pportunities to reimagine the built environment and be partners in change</w:t>
      </w:r>
      <w:r w:rsidR="00292023">
        <w:rPr>
          <w:lang w:val="en-GB"/>
        </w:rPr>
        <w:t xml:space="preserve"> should be increased</w:t>
      </w:r>
      <w:r w:rsidR="00D0762B" w:rsidRPr="00E26442">
        <w:rPr>
          <w:lang w:val="en-GB"/>
        </w:rPr>
        <w:t>. This sort of ongoing capacity building is important for inspiring and sustaining change.   </w:t>
      </w:r>
    </w:p>
    <w:p w14:paraId="5DD8E959" w14:textId="044167D1" w:rsidR="00D0762B" w:rsidRPr="00F920E8" w:rsidRDefault="00D0762B" w:rsidP="00F920E8">
      <w:pPr>
        <w:pStyle w:val="ListParagraph"/>
        <w:numPr>
          <w:ilvl w:val="0"/>
          <w:numId w:val="10"/>
        </w:numPr>
        <w:spacing w:after="0" w:line="240" w:lineRule="auto"/>
        <w:rPr>
          <w:lang w:val="en-GB"/>
        </w:rPr>
      </w:pPr>
      <w:r w:rsidRPr="00F920E8">
        <w:rPr>
          <w:b/>
          <w:bCs/>
          <w:lang w:val="en-GB"/>
        </w:rPr>
        <w:t>Editing:</w:t>
      </w:r>
      <w:r w:rsidRPr="00F920E8">
        <w:rPr>
          <w:lang w:val="en-GB"/>
        </w:rPr>
        <w:t xml:space="preserve"> While a minor thing, the section numbering in the Executive Summary is different from the section numbering within the main Strategy (e.g. Section 7 in the Executive Strategy is actually Section 8 in the Strategy).</w:t>
      </w:r>
    </w:p>
    <w:p w14:paraId="5C387798" w14:textId="0CD613DB" w:rsidR="00536272" w:rsidRPr="00F920E8" w:rsidRDefault="00536272" w:rsidP="00F920E8">
      <w:pPr>
        <w:pStyle w:val="ListParagraph"/>
        <w:numPr>
          <w:ilvl w:val="0"/>
          <w:numId w:val="10"/>
        </w:numPr>
        <w:spacing w:after="0" w:line="240" w:lineRule="auto"/>
        <w:rPr>
          <w:lang w:val="en-GB"/>
        </w:rPr>
      </w:pPr>
      <w:r w:rsidRPr="00F920E8">
        <w:rPr>
          <w:b/>
          <w:bCs/>
          <w:lang w:val="en-GB"/>
        </w:rPr>
        <w:t>The consultation process:</w:t>
      </w:r>
      <w:r w:rsidRPr="00F920E8">
        <w:rPr>
          <w:lang w:val="en-GB"/>
        </w:rPr>
        <w:t xml:space="preserve"> </w:t>
      </w:r>
      <w:r w:rsidR="00F05751" w:rsidRPr="00F920E8">
        <w:rPr>
          <w:lang w:val="en-GB"/>
        </w:rPr>
        <w:t xml:space="preserve">The consultation platform restricts submissions to chapters.  A facility to give general comments is needed.  </w:t>
      </w:r>
    </w:p>
    <w:p w14:paraId="65AE5159" w14:textId="77777777" w:rsidR="00D0762B" w:rsidRDefault="00D0762B" w:rsidP="00A26066"/>
    <w:p w14:paraId="0086FDF9" w14:textId="0F99E46D" w:rsidR="00376BC2" w:rsidRDefault="00C03BD1" w:rsidP="00C03BD1">
      <w:pPr>
        <w:pStyle w:val="Heading2"/>
      </w:pPr>
      <w:r>
        <w:t xml:space="preserve">Trinity’s Feedback on </w:t>
      </w:r>
      <w:r w:rsidR="00AA7C5C">
        <w:t>the Strategy</w:t>
      </w:r>
    </w:p>
    <w:p w14:paraId="6B9A2593" w14:textId="375DC9D1" w:rsidR="00FC467A" w:rsidRDefault="00DB283F" w:rsidP="00DB283F">
      <w:pPr>
        <w:pStyle w:val="Heading3"/>
      </w:pPr>
      <w:r>
        <w:t>Chapter 14: Traffic Management and Travel Options</w:t>
      </w:r>
    </w:p>
    <w:p w14:paraId="24141CB0" w14:textId="63E43FBB" w:rsidR="00DB283F" w:rsidRDefault="006E1828" w:rsidP="007F025A">
      <w:pPr>
        <w:rPr>
          <w:lang w:val="en-GB"/>
        </w:rPr>
      </w:pPr>
      <w:r>
        <w:rPr>
          <w:lang w:val="en-GB"/>
        </w:rPr>
        <w:t xml:space="preserve">Trinity welcomes </w:t>
      </w:r>
      <w:r w:rsidR="00DF4770">
        <w:rPr>
          <w:lang w:val="en-GB"/>
        </w:rPr>
        <w:t xml:space="preserve">measures to reduce parking </w:t>
      </w:r>
      <w:r w:rsidR="00E0575A">
        <w:rPr>
          <w:lang w:val="en-GB"/>
        </w:rPr>
        <w:t xml:space="preserve">including public sector parking in Dublin City Centre.  </w:t>
      </w:r>
    </w:p>
    <w:p w14:paraId="466DCFD0" w14:textId="238855C0" w:rsidR="00BA72A8" w:rsidRDefault="00BA72A8" w:rsidP="007F025A">
      <w:pPr>
        <w:rPr>
          <w:lang w:val="en-GB"/>
        </w:rPr>
      </w:pPr>
      <w:r w:rsidRPr="00BA72A8">
        <w:rPr>
          <w:lang w:val="en-GB"/>
        </w:rPr>
        <w:t>Variable Speed Zones could include Safe Routes to School Zones and peak school times too.</w:t>
      </w:r>
    </w:p>
    <w:p w14:paraId="0905EF96" w14:textId="5AFD2DA4" w:rsidR="00925680" w:rsidRDefault="00925680" w:rsidP="00925680">
      <w:pPr>
        <w:pStyle w:val="ListParagraph"/>
        <w:numPr>
          <w:ilvl w:val="0"/>
          <w:numId w:val="4"/>
        </w:numPr>
        <w:spacing w:after="0" w:line="240" w:lineRule="auto"/>
        <w:rPr>
          <w:lang w:val="en-GB"/>
        </w:rPr>
      </w:pPr>
      <w:r w:rsidRPr="00925680">
        <w:rPr>
          <w:b/>
          <w:bCs/>
          <w:lang w:val="en-GB"/>
        </w:rPr>
        <w:lastRenderedPageBreak/>
        <w:t>Page 174+. Parking Standards:</w:t>
      </w:r>
      <w:r w:rsidRPr="00925680">
        <w:rPr>
          <w:lang w:val="en-GB"/>
        </w:rPr>
        <w:t xml:space="preserve"> In addition to the number of spaces, the placement of parking in front of homes wastes huge amounts of space in most developments, which could provide housing options and rental income. There appears to be no encouragement of the use of alleys or rear parking to encourage the construction of small homes / accessible accessory dwelling units or larger gardens for those who don’t want/need parking, while managing refuse collection more effectively. Parking maximums rather than parking minimums is the right way to go. Where is the focus on bicycle parking though? </w:t>
      </w:r>
    </w:p>
    <w:p w14:paraId="59DE91A4" w14:textId="1FF18B68" w:rsidR="00091108" w:rsidRPr="00FA4478" w:rsidRDefault="00615223" w:rsidP="00091108">
      <w:pPr>
        <w:pStyle w:val="ListParagraph"/>
        <w:numPr>
          <w:ilvl w:val="0"/>
          <w:numId w:val="4"/>
        </w:numPr>
        <w:rPr>
          <w:b/>
          <w:bCs/>
        </w:rPr>
      </w:pPr>
      <w:r w:rsidRPr="00615223">
        <w:rPr>
          <w:b/>
          <w:bCs/>
        </w:rPr>
        <w:t xml:space="preserve">14.11.1 Car Free Residential Developments: </w:t>
      </w:r>
      <w:r w:rsidR="00091108">
        <w:t xml:space="preserve">states: </w:t>
      </w:r>
      <w:r w:rsidR="00091108" w:rsidRPr="00091108">
        <w:rPr>
          <w:i/>
          <w:iCs/>
        </w:rPr>
        <w:t>“In providing for car-free developments, the two key considerations will be the level of mobility that can be offered to future residents by the transport network in terms of public transport and the provision of high-quality cycle infrastructure, and the potential for adverse effects of overspill parking on neighbouring residential roads and streets.”  </w:t>
      </w:r>
      <w:r w:rsidR="00091108">
        <w:t xml:space="preserve">Provision of high quality cycle infrastructure and bicycle parking are symbiotic.  Not everyone can store their bicycle at their home and older residential developments may not have lifts or underground bicycle parking. This section needs to name bicycle parking as the third consideration or state that ‘high-quality cycle infrastructure’ includes bicycle parking.  Of note, there is a heading titled </w:t>
      </w:r>
      <w:r w:rsidR="00091108" w:rsidRPr="00091108">
        <w:rPr>
          <w:i/>
          <w:iCs/>
        </w:rPr>
        <w:t>Residential Car Parking Standards</w:t>
      </w:r>
      <w:r w:rsidR="00091108">
        <w:t xml:space="preserve"> (14.11.2) and a Table (15.1) setting out maximum parking provision. There no heading on </w:t>
      </w:r>
      <w:r w:rsidR="00091108" w:rsidRPr="00091108">
        <w:rPr>
          <w:i/>
          <w:iCs/>
        </w:rPr>
        <w:t>Residential Bicycle Parking</w:t>
      </w:r>
      <w:r w:rsidR="00091108">
        <w:t xml:space="preserve"> or the equivalent Table or Targets.  </w:t>
      </w:r>
      <w:r w:rsidR="00091108" w:rsidRPr="00091108">
        <w:rPr>
          <w:i/>
          <w:iCs/>
        </w:rPr>
        <w:t>Residential Bicycle Parking</w:t>
      </w:r>
      <w:r w:rsidR="00091108">
        <w:t xml:space="preserve"> and the equivalent Table and Targets should also be considered for inclusion.  </w:t>
      </w:r>
    </w:p>
    <w:p w14:paraId="586F487B" w14:textId="253B3B54" w:rsidR="00FA4478" w:rsidRDefault="00FA4478" w:rsidP="00FA4478">
      <w:pPr>
        <w:pStyle w:val="ListParagraph"/>
        <w:numPr>
          <w:ilvl w:val="0"/>
          <w:numId w:val="4"/>
        </w:numPr>
        <w:rPr>
          <w:lang w:val="en-GB" w:eastAsia="en-IE"/>
        </w:rPr>
      </w:pPr>
      <w:r>
        <w:rPr>
          <w:lang w:val="en-GB" w:eastAsia="en-IE"/>
        </w:rPr>
        <w:t xml:space="preserve">The draft strategy states: </w:t>
      </w:r>
      <w:r w:rsidRPr="00FA4478">
        <w:rPr>
          <w:lang w:val="en-GB" w:eastAsia="en-IE"/>
        </w:rPr>
        <w:t>“Every mode of travel needs to be</w:t>
      </w:r>
      <w:r>
        <w:rPr>
          <w:lang w:val="en-GB" w:eastAsia="en-IE"/>
        </w:rPr>
        <w:t xml:space="preserve"> </w:t>
      </w:r>
      <w:r w:rsidRPr="00FA4478">
        <w:rPr>
          <w:lang w:val="en-GB" w:eastAsia="en-IE"/>
        </w:rPr>
        <w:t>accommodated in some form in order to ensure that the</w:t>
      </w:r>
      <w:r>
        <w:rPr>
          <w:lang w:val="en-GB" w:eastAsia="en-IE"/>
        </w:rPr>
        <w:t xml:space="preserve"> </w:t>
      </w:r>
      <w:r w:rsidRPr="00FA4478">
        <w:rPr>
          <w:lang w:val="en-GB" w:eastAsia="en-IE"/>
        </w:rPr>
        <w:t>needs of residents, businesses, workers and visitors are met.</w:t>
      </w:r>
      <w:r>
        <w:rPr>
          <w:lang w:val="en-GB" w:eastAsia="en-IE"/>
        </w:rPr>
        <w:t xml:space="preserve"> </w:t>
      </w:r>
      <w:r w:rsidRPr="00FA4478">
        <w:rPr>
          <w:lang w:val="en-GB" w:eastAsia="en-IE"/>
        </w:rPr>
        <w:t>These needs, however, must be balanced in a way that favours</w:t>
      </w:r>
      <w:r>
        <w:rPr>
          <w:lang w:val="en-GB" w:eastAsia="en-IE"/>
        </w:rPr>
        <w:t xml:space="preserve"> </w:t>
      </w:r>
      <w:r w:rsidRPr="00FA4478">
        <w:rPr>
          <w:lang w:val="en-GB" w:eastAsia="en-IE"/>
        </w:rPr>
        <w:t xml:space="preserve">sustainable mobility and the transition </w:t>
      </w:r>
      <w:r>
        <w:rPr>
          <w:lang w:val="en-GB" w:eastAsia="en-IE"/>
        </w:rPr>
        <w:t xml:space="preserve"> </w:t>
      </w:r>
      <w:r w:rsidRPr="00FA4478">
        <w:rPr>
          <w:lang w:val="en-GB" w:eastAsia="en-IE"/>
        </w:rPr>
        <w:t>to a zero-carbon</w:t>
      </w:r>
      <w:r>
        <w:rPr>
          <w:lang w:val="en-GB" w:eastAsia="en-IE"/>
        </w:rPr>
        <w:t xml:space="preserve"> </w:t>
      </w:r>
      <w:r w:rsidRPr="00FA4478">
        <w:rPr>
          <w:lang w:val="en-GB" w:eastAsia="en-IE"/>
        </w:rPr>
        <w:t>transport system, and the level of accommodation of each</w:t>
      </w:r>
      <w:r>
        <w:rPr>
          <w:lang w:val="en-GB" w:eastAsia="en-IE"/>
        </w:rPr>
        <w:t xml:space="preserve"> </w:t>
      </w:r>
      <w:r w:rsidRPr="00FA4478">
        <w:rPr>
          <w:lang w:val="en-GB" w:eastAsia="en-IE"/>
        </w:rPr>
        <w:t>mode will not be equal on every road and street.”</w:t>
      </w:r>
    </w:p>
    <w:p w14:paraId="32F9A709" w14:textId="77777777" w:rsidR="00FB2C8D" w:rsidRDefault="00FB2C8D" w:rsidP="00FB2C8D">
      <w:pPr>
        <w:pStyle w:val="ListParagraph"/>
        <w:ind w:left="360"/>
        <w:rPr>
          <w:lang w:val="en-GB" w:eastAsia="en-IE"/>
        </w:rPr>
      </w:pPr>
    </w:p>
    <w:p w14:paraId="6984B88C" w14:textId="65A623AE" w:rsidR="00FA4478" w:rsidRPr="00FA4478" w:rsidRDefault="00FA4478" w:rsidP="00FB2C8D">
      <w:pPr>
        <w:pStyle w:val="ListParagraph"/>
        <w:ind w:left="360"/>
        <w:rPr>
          <w:lang w:val="en-GB" w:eastAsia="en-IE"/>
        </w:rPr>
      </w:pPr>
      <w:r w:rsidRPr="00FA4478">
        <w:rPr>
          <w:lang w:val="en-GB" w:eastAsia="en-IE"/>
        </w:rPr>
        <w:t xml:space="preserve">Provision for safe/segregated cycling infrastructure </w:t>
      </w:r>
      <w:r w:rsidR="00FB2C8D">
        <w:rPr>
          <w:lang w:val="en-GB" w:eastAsia="en-IE"/>
        </w:rPr>
        <w:t xml:space="preserve">is Trinity’s </w:t>
      </w:r>
      <w:r w:rsidRPr="00FA4478">
        <w:rPr>
          <w:lang w:val="en-GB" w:eastAsia="en-IE"/>
        </w:rPr>
        <w:t xml:space="preserve">priority. We </w:t>
      </w:r>
      <w:r w:rsidR="00FB2C8D">
        <w:rPr>
          <w:lang w:val="en-GB" w:eastAsia="en-IE"/>
        </w:rPr>
        <w:t xml:space="preserve">have very high </w:t>
      </w:r>
      <w:r w:rsidRPr="00FA4478">
        <w:rPr>
          <w:lang w:val="en-GB" w:eastAsia="en-IE"/>
        </w:rPr>
        <w:t>cycling mode share.</w:t>
      </w:r>
    </w:p>
    <w:p w14:paraId="06B3A118" w14:textId="77777777" w:rsidR="0073337E" w:rsidRDefault="0073337E" w:rsidP="0073337E">
      <w:pPr>
        <w:pStyle w:val="ListParagraph"/>
        <w:ind w:left="360"/>
        <w:rPr>
          <w:lang w:val="en-GB" w:eastAsia="en-IE"/>
        </w:rPr>
      </w:pPr>
    </w:p>
    <w:p w14:paraId="23A8CBF2" w14:textId="253F8E65" w:rsidR="00FA4478" w:rsidRDefault="00FA4478" w:rsidP="0073337E">
      <w:pPr>
        <w:pStyle w:val="ListParagraph"/>
        <w:ind w:left="360"/>
        <w:rPr>
          <w:lang w:val="en-GB" w:eastAsia="en-IE"/>
        </w:rPr>
      </w:pPr>
      <w:r w:rsidRPr="00FA4478">
        <w:rPr>
          <w:lang w:val="en-GB" w:eastAsia="en-IE"/>
        </w:rPr>
        <w:t xml:space="preserve">Again </w:t>
      </w:r>
      <w:r w:rsidR="0073337E">
        <w:rPr>
          <w:lang w:val="en-GB" w:eastAsia="en-IE"/>
        </w:rPr>
        <w:t xml:space="preserve">Trinity would like to </w:t>
      </w:r>
      <w:r w:rsidRPr="00FA4478">
        <w:rPr>
          <w:lang w:val="en-GB" w:eastAsia="en-IE"/>
        </w:rPr>
        <w:t xml:space="preserve">emphasise the importance of College Green </w:t>
      </w:r>
      <w:r w:rsidR="0073337E">
        <w:rPr>
          <w:lang w:val="en-GB" w:eastAsia="en-IE"/>
        </w:rPr>
        <w:t xml:space="preserve">to our university </w:t>
      </w:r>
      <w:r w:rsidRPr="00FA4478">
        <w:rPr>
          <w:lang w:val="en-GB" w:eastAsia="en-IE"/>
        </w:rPr>
        <w:t xml:space="preserve">and the approaches to it – Dame St/Pearse St. </w:t>
      </w:r>
      <w:r w:rsidR="0073337E">
        <w:rPr>
          <w:lang w:val="en-GB" w:eastAsia="en-IE"/>
        </w:rPr>
        <w:t xml:space="preserve">Nassau Street and other </w:t>
      </w:r>
      <w:r w:rsidR="0076752A">
        <w:rPr>
          <w:lang w:val="en-GB" w:eastAsia="en-IE"/>
        </w:rPr>
        <w:t xml:space="preserve">routes.  </w:t>
      </w:r>
    </w:p>
    <w:p w14:paraId="12468AD1" w14:textId="77777777" w:rsidR="004138B4" w:rsidRPr="00FA4478" w:rsidRDefault="004138B4" w:rsidP="0073337E">
      <w:pPr>
        <w:pStyle w:val="ListParagraph"/>
        <w:ind w:left="360"/>
        <w:rPr>
          <w:lang w:val="en-GB" w:eastAsia="en-IE"/>
        </w:rPr>
      </w:pPr>
    </w:p>
    <w:p w14:paraId="404E78B9" w14:textId="226F90CF" w:rsidR="00593796" w:rsidRPr="00480B0A" w:rsidRDefault="004138B4" w:rsidP="00480B0A">
      <w:pPr>
        <w:pStyle w:val="ListParagraph"/>
        <w:numPr>
          <w:ilvl w:val="0"/>
          <w:numId w:val="4"/>
        </w:numPr>
        <w:rPr>
          <w:lang w:val="en-GB" w:eastAsia="en-IE"/>
        </w:rPr>
      </w:pPr>
      <w:r w:rsidRPr="004138B4">
        <w:rPr>
          <w:b/>
          <w:bCs/>
          <w:lang w:val="en-GB" w:eastAsia="en-IE"/>
        </w:rPr>
        <w:t xml:space="preserve">14.4 Reduced Speed Limits: </w:t>
      </w:r>
      <w:r w:rsidRPr="004138B4">
        <w:rPr>
          <w:lang w:val="en-GB" w:eastAsia="en-IE"/>
        </w:rPr>
        <w:t xml:space="preserve">Trinity strongly </w:t>
      </w:r>
      <w:r>
        <w:rPr>
          <w:lang w:val="en-GB" w:eastAsia="en-IE"/>
        </w:rPr>
        <w:t xml:space="preserve">supports </w:t>
      </w:r>
      <w:r w:rsidRPr="004138B4">
        <w:rPr>
          <w:lang w:val="en-GB" w:eastAsia="en-IE"/>
        </w:rPr>
        <w:t xml:space="preserve">30 km/h </w:t>
      </w:r>
      <w:r>
        <w:rPr>
          <w:lang w:val="en-GB" w:eastAsia="en-IE"/>
        </w:rPr>
        <w:t xml:space="preserve">speed limits in Dublin and particular on Pearse Street which is very hostile to walking and cycling.  </w:t>
      </w:r>
    </w:p>
    <w:p w14:paraId="7855D25E" w14:textId="192B53EF" w:rsidR="00043841" w:rsidRPr="00B70296" w:rsidRDefault="00043841" w:rsidP="00480B0A">
      <w:pPr>
        <w:pStyle w:val="ListParagraph"/>
        <w:autoSpaceDE w:val="0"/>
        <w:autoSpaceDN w:val="0"/>
        <w:adjustRightInd w:val="0"/>
        <w:ind w:left="360"/>
        <w:rPr>
          <w:rFonts w:ascii="Calibri" w:hAnsi="Calibri" w:cs="Calibri"/>
          <w:lang w:val="en-GB"/>
        </w:rPr>
      </w:pPr>
    </w:p>
    <w:p w14:paraId="4E56C536" w14:textId="77777777" w:rsidR="000B672A" w:rsidRDefault="000B672A" w:rsidP="000B672A">
      <w:pPr>
        <w:pStyle w:val="Heading2"/>
      </w:pPr>
      <w:r>
        <w:t>Background</w:t>
      </w:r>
    </w:p>
    <w:p w14:paraId="71D88813" w14:textId="77777777" w:rsidR="000B672A" w:rsidRDefault="000B672A" w:rsidP="000B672A">
      <w:r w:rsidRPr="001E53A1">
        <w:rPr>
          <w:b/>
          <w:bCs/>
        </w:rPr>
        <w:t>About Trinity:</w:t>
      </w:r>
      <w:r>
        <w:t xml:space="preserve"> Trinity is the largest trip attractor in Dublin City Centre.  The majority of our 16,000 students and 4,000 staff, study or work on our College Green Campus.  Whilst the central work of the university is education and research, Trinity also has 661 on campus student beds on College Green/Pearse Street, approximately 1 million visitors per year to the Book of Kells exhibition and multiple cafes and gift shops open to the public.  Our conference, private dining and banqueting services are busy year-round and from mid-May to mid-August we operate as the largest accommodation provider in Dublin with over 1,500 beds a night across our College Green and Trinity Hall campuses</w:t>
      </w:r>
      <w:r>
        <w:rPr>
          <w:rStyle w:val="FootnoteReference"/>
        </w:rPr>
        <w:footnoteReference w:id="2"/>
      </w:r>
      <w:r>
        <w:t xml:space="preserve">.  </w:t>
      </w:r>
    </w:p>
    <w:p w14:paraId="1AE92A7B" w14:textId="77777777" w:rsidR="000B672A" w:rsidRDefault="000B672A" w:rsidP="000B672A">
      <w:r w:rsidRPr="001E53A1">
        <w:rPr>
          <w:b/>
          <w:bCs/>
        </w:rPr>
        <w:t>Trinity’s partnership with the NTA:</w:t>
      </w:r>
      <w:r>
        <w:t xml:space="preserve"> Trinity has partnered with the National Transport Authority as a Smarter Travel Campus since 2011.  Through that partnership, data capture with the National </w:t>
      </w:r>
      <w:r>
        <w:lastRenderedPageBreak/>
        <w:t>Transport Authority has identified Trinity as a global leader in sustainable transport use with only 1% of our students and staff commuting by private car</w:t>
      </w:r>
      <w:r>
        <w:rPr>
          <w:rStyle w:val="FootnoteReference"/>
        </w:rPr>
        <w:footnoteReference w:id="3"/>
      </w:r>
      <w:r>
        <w:t xml:space="preserve">.  Trinity has participated in the National Transport Authority’s annual walking and cycling challenges with participation of greater than 100 people every year.  In 2019, Trinity participated in the National Transport Authority’s Smarter Travel awards with one group of our students and one of our lecturers winning an award.  Partnering with the National Transport Authority on the Smarter Travel Campus initiative has been a very positive and enjoyable experience and we look forward to continuing to do so.  </w:t>
      </w:r>
    </w:p>
    <w:p w14:paraId="7E0F619C" w14:textId="491346BA" w:rsidR="000B672A" w:rsidRDefault="000B672A" w:rsidP="000B672A">
      <w:r w:rsidRPr="009A391B">
        <w:rPr>
          <w:b/>
          <w:bCs/>
        </w:rPr>
        <w:t xml:space="preserve">How Trinity is supporting </w:t>
      </w:r>
      <w:r>
        <w:rPr>
          <w:b/>
          <w:bCs/>
        </w:rPr>
        <w:t>#LiveableDublin</w:t>
      </w:r>
      <w:r w:rsidRPr="009A391B">
        <w:rPr>
          <w:b/>
          <w:bCs/>
        </w:rPr>
        <w:t>:</w:t>
      </w:r>
      <w:r>
        <w:t xml:space="preserve"> In 2019, Trinity, PPI Ignite (a research project in Trinity) and BYCS Amsterdam (a Dutch not for profit organisation that promotes cycling) worked with the support of Dublin City Council to facilitate a city-wide debate on how Dublin can become more liveable.  During the </w:t>
      </w:r>
      <w:proofErr w:type="spellStart"/>
      <w:r>
        <w:t>LiveableDublin</w:t>
      </w:r>
      <w:proofErr w:type="spellEnd"/>
      <w:r>
        <w:t xml:space="preserve"> events, participants defined and explored the question, “How can we speed up change in Dublin to make it more liveable?”</w:t>
      </w:r>
      <w:r>
        <w:rPr>
          <w:rStyle w:val="FootnoteReference"/>
        </w:rPr>
        <w:footnoteReference w:id="4"/>
      </w:r>
      <w:r>
        <w:t>.   Trinity made a submission to Dublin City Council on travel during COVID-19 restrictions calling for wider footpaths and safer cycling</w:t>
      </w:r>
      <w:r>
        <w:rPr>
          <w:rStyle w:val="FootnoteReference"/>
        </w:rPr>
        <w:footnoteReference w:id="5"/>
      </w:r>
      <w:r>
        <w:t xml:space="preserve">.  </w:t>
      </w:r>
      <w:r>
        <w:rPr>
          <w:rFonts w:ascii="Calibri" w:eastAsia="Calibri" w:hAnsi="Calibri" w:cs="Calibri"/>
        </w:rPr>
        <w:t xml:space="preserve">We were </w:t>
      </w:r>
      <w:r w:rsidRPr="1FFEA2FE">
        <w:rPr>
          <w:rFonts w:ascii="Calibri" w:eastAsia="Calibri" w:hAnsi="Calibri" w:cs="Calibri"/>
        </w:rPr>
        <w:t>ranked as the top ‘Green’ University in 2020</w:t>
      </w:r>
      <w:r>
        <w:rPr>
          <w:rStyle w:val="FootnoteReference"/>
          <w:rFonts w:ascii="Calibri" w:eastAsia="Calibri" w:hAnsi="Calibri" w:cs="Calibri"/>
        </w:rPr>
        <w:footnoteReference w:id="6"/>
      </w:r>
      <w:r w:rsidRPr="1FFEA2FE">
        <w:rPr>
          <w:rFonts w:ascii="Calibri" w:eastAsia="Calibri" w:hAnsi="Calibri" w:cs="Calibri"/>
        </w:rPr>
        <w:t xml:space="preserve">. </w:t>
      </w:r>
      <w:r>
        <w:t xml:space="preserve">Trinity believes this work demonstrates that we are committed to working for and with the city to make Dublin more sustainable and liveable.  </w:t>
      </w:r>
      <w:r w:rsidR="00257D45">
        <w:t xml:space="preserve">During COP26, Trinity signed this letter </w:t>
      </w:r>
      <w:r w:rsidR="008131DF">
        <w:t xml:space="preserve">urging governments to boost </w:t>
      </w:r>
      <w:r w:rsidR="00257D45">
        <w:t>cycling</w:t>
      </w:r>
      <w:r w:rsidR="008131DF">
        <w:t xml:space="preserve"> levels. </w:t>
      </w:r>
      <w:r w:rsidR="00257D45">
        <w:t xml:space="preserve"> </w:t>
      </w:r>
      <w:hyperlink r:id="rId10" w:history="1">
        <w:r w:rsidR="00257D45" w:rsidRPr="00E869D3">
          <w:rPr>
            <w:rStyle w:val="Hyperlink"/>
          </w:rPr>
          <w:t>https://cop26cycling.com/</w:t>
        </w:r>
      </w:hyperlink>
      <w:r w:rsidR="00257D45">
        <w:t xml:space="preserve"> </w:t>
      </w:r>
    </w:p>
    <w:p w14:paraId="2F208EF7" w14:textId="77777777" w:rsidR="000B672A" w:rsidRDefault="000B672A" w:rsidP="000B672A">
      <w:r w:rsidRPr="009A391B">
        <w:rPr>
          <w:b/>
          <w:bCs/>
        </w:rPr>
        <w:t>How people travel</w:t>
      </w:r>
      <w:r>
        <w:rPr>
          <w:b/>
          <w:bCs/>
        </w:rPr>
        <w:t>led</w:t>
      </w:r>
      <w:r w:rsidRPr="009A391B">
        <w:rPr>
          <w:b/>
          <w:bCs/>
        </w:rPr>
        <w:t xml:space="preserve"> to Trinity</w:t>
      </w:r>
      <w:r>
        <w:rPr>
          <w:b/>
          <w:bCs/>
        </w:rPr>
        <w:t xml:space="preserve"> pre COVID-19</w:t>
      </w:r>
      <w:r>
        <w:rPr>
          <w:noProof/>
        </w:rPr>
        <w:drawing>
          <wp:inline distT="0" distB="0" distL="0" distR="0" wp14:anchorId="3F8C7872" wp14:editId="0AF57B7E">
            <wp:extent cx="5731510" cy="2433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2433320"/>
                    </a:xfrm>
                    <a:prstGeom prst="rect">
                      <a:avLst/>
                    </a:prstGeom>
                  </pic:spPr>
                </pic:pic>
              </a:graphicData>
            </a:graphic>
          </wp:inline>
        </w:drawing>
      </w:r>
    </w:p>
    <w:p w14:paraId="0F1965C9" w14:textId="77777777" w:rsidR="000B672A" w:rsidRDefault="000B672A" w:rsidP="000B672A">
      <w:pPr>
        <w:rPr>
          <w:sz w:val="18"/>
          <w:szCs w:val="18"/>
        </w:rPr>
      </w:pPr>
      <w:r w:rsidRPr="004A2330">
        <w:rPr>
          <w:sz w:val="18"/>
          <w:szCs w:val="18"/>
        </w:rPr>
        <w:t>Figure 1. Shows how Trinity students and staff travel</w:t>
      </w:r>
      <w:r>
        <w:rPr>
          <w:sz w:val="18"/>
          <w:szCs w:val="18"/>
        </w:rPr>
        <w:t>led</w:t>
      </w:r>
      <w:r w:rsidRPr="004A2330">
        <w:rPr>
          <w:sz w:val="18"/>
          <w:szCs w:val="18"/>
        </w:rPr>
        <w:t xml:space="preserve"> to campus</w:t>
      </w:r>
      <w:r>
        <w:rPr>
          <w:sz w:val="18"/>
          <w:szCs w:val="18"/>
        </w:rPr>
        <w:t xml:space="preserve"> in March 2019</w:t>
      </w:r>
    </w:p>
    <w:p w14:paraId="5C629181" w14:textId="77777777" w:rsidR="000B672A" w:rsidRPr="00747571" w:rsidRDefault="000B672A" w:rsidP="000B672A">
      <w:r w:rsidRPr="00747571">
        <w:t xml:space="preserve">Trinity is a global leader in </w:t>
      </w:r>
      <w:r>
        <w:t xml:space="preserve">sustainable transport use.  We are lucky, due to our location, to be served by all forms of public transport except safe, segregated cycling.  </w:t>
      </w:r>
    </w:p>
    <w:p w14:paraId="4C74F8A0" w14:textId="77777777" w:rsidR="000B672A" w:rsidRDefault="000B672A" w:rsidP="000B672A">
      <w:r w:rsidRPr="00747CEC">
        <w:rPr>
          <w:b/>
          <w:bCs/>
        </w:rPr>
        <w:t xml:space="preserve">Completing </w:t>
      </w:r>
      <w:r>
        <w:rPr>
          <w:b/>
          <w:bCs/>
        </w:rPr>
        <w:t>this document</w:t>
      </w:r>
      <w:r w:rsidRPr="00747CEC">
        <w:rPr>
          <w:b/>
          <w:bCs/>
        </w:rPr>
        <w:t xml:space="preserve">: </w:t>
      </w:r>
      <w:r>
        <w:t>Trinity notes the primary ongoing and to be completed transport projects for the GDA:</w:t>
      </w:r>
    </w:p>
    <w:p w14:paraId="3E72E825"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On-going roll out of cycle tracks and greenways</w:t>
      </w:r>
    </w:p>
    <w:p w14:paraId="59409AFF"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 xml:space="preserve">Metrolink </w:t>
      </w:r>
      <w:r>
        <w:rPr>
          <w:rFonts w:ascii="Calibri" w:eastAsia="Calibri" w:hAnsi="Calibri" w:cs="Calibri"/>
        </w:rPr>
        <w:t xml:space="preserve">and </w:t>
      </w:r>
      <w:r w:rsidRPr="1FFEA2FE">
        <w:rPr>
          <w:rFonts w:ascii="Calibri" w:eastAsia="Calibri" w:hAnsi="Calibri" w:cs="Calibri"/>
        </w:rPr>
        <w:t>DART+ Programme; and</w:t>
      </w:r>
    </w:p>
    <w:p w14:paraId="1E871463" w14:textId="77777777" w:rsidR="000B672A" w:rsidRPr="00801AFA" w:rsidRDefault="000B672A" w:rsidP="000B672A">
      <w:pPr>
        <w:pStyle w:val="ListParagraph"/>
        <w:numPr>
          <w:ilvl w:val="0"/>
          <w:numId w:val="3"/>
        </w:numPr>
        <w:rPr>
          <w:rFonts w:eastAsiaTheme="minorEastAsia"/>
        </w:rPr>
      </w:pPr>
      <w:r w:rsidRPr="1FFEA2FE">
        <w:rPr>
          <w:rFonts w:ascii="Calibri" w:eastAsia="Calibri" w:hAnsi="Calibri" w:cs="Calibri"/>
        </w:rPr>
        <w:lastRenderedPageBreak/>
        <w:t xml:space="preserve">Investment in bus priority and bus service improvements – </w:t>
      </w:r>
      <w:proofErr w:type="spellStart"/>
      <w:r w:rsidRPr="1FFEA2FE">
        <w:rPr>
          <w:rFonts w:ascii="Calibri" w:eastAsia="Calibri" w:hAnsi="Calibri" w:cs="Calibri"/>
        </w:rPr>
        <w:t>BusConnects</w:t>
      </w:r>
      <w:proofErr w:type="spellEnd"/>
    </w:p>
    <w:p w14:paraId="3F25D515" w14:textId="77777777" w:rsidR="000B672A" w:rsidRDefault="000B672A" w:rsidP="000B672A">
      <w:pPr>
        <w:pStyle w:val="ListParagraph"/>
        <w:numPr>
          <w:ilvl w:val="0"/>
          <w:numId w:val="3"/>
        </w:numPr>
        <w:rPr>
          <w:rFonts w:eastAsiaTheme="minorEastAsia"/>
        </w:rPr>
      </w:pPr>
      <w:r>
        <w:rPr>
          <w:rFonts w:ascii="Calibri" w:eastAsia="Calibri" w:hAnsi="Calibri" w:cs="Calibri"/>
        </w:rPr>
        <w:t>Proposed Luas extensions</w:t>
      </w:r>
    </w:p>
    <w:p w14:paraId="296C6C88" w14:textId="205AA07B" w:rsidR="000B672A" w:rsidRDefault="000B672A" w:rsidP="000B672A">
      <w:r>
        <w:rPr>
          <w:rFonts w:ascii="Calibri" w:eastAsia="Calibri" w:hAnsi="Calibri" w:cs="Calibri"/>
        </w:rPr>
        <w:t xml:space="preserve">We thank the NTA for their progress on these schemes and welcome </w:t>
      </w:r>
      <w:r w:rsidR="0022679C">
        <w:rPr>
          <w:rFonts w:ascii="Calibri" w:eastAsia="Calibri" w:hAnsi="Calibri" w:cs="Calibri"/>
        </w:rPr>
        <w:t xml:space="preserve">this </w:t>
      </w:r>
      <w:r>
        <w:rPr>
          <w:rFonts w:ascii="Calibri" w:eastAsia="Calibri" w:hAnsi="Calibri" w:cs="Calibri"/>
        </w:rPr>
        <w:t xml:space="preserve">review of the </w:t>
      </w:r>
      <w:r>
        <w:t xml:space="preserve">Greater Dublin Area Transport Strategy.  </w:t>
      </w:r>
    </w:p>
    <w:p w14:paraId="63F2F5AC" w14:textId="03111BC5" w:rsidR="00E0232C" w:rsidRDefault="00E0232C" w:rsidP="00E0232C">
      <w:pPr>
        <w:pStyle w:val="Heading3"/>
      </w:pPr>
      <w:r>
        <w:t xml:space="preserve">Contact Details </w:t>
      </w:r>
    </w:p>
    <w:p w14:paraId="5CD181C8" w14:textId="4C7AD346" w:rsidR="00E0232C" w:rsidRPr="00602BF4" w:rsidRDefault="00E0232C" w:rsidP="00E0232C">
      <w:r>
        <w:t>For questions/comments on this submission please contact:</w:t>
      </w:r>
    </w:p>
    <w:tbl>
      <w:tblPr>
        <w:tblStyle w:val="TableGrid"/>
        <w:tblW w:w="0" w:type="auto"/>
        <w:tblLook w:val="04A0" w:firstRow="1" w:lastRow="0" w:firstColumn="1" w:lastColumn="0" w:noHBand="0" w:noVBand="1"/>
      </w:tblPr>
      <w:tblGrid>
        <w:gridCol w:w="4390"/>
        <w:gridCol w:w="4626"/>
      </w:tblGrid>
      <w:tr w:rsidR="00E0232C" w14:paraId="0FFD20FC" w14:textId="77777777" w:rsidTr="007852F7">
        <w:tc>
          <w:tcPr>
            <w:tcW w:w="4390" w:type="dxa"/>
          </w:tcPr>
          <w:p w14:paraId="6C6CBA95" w14:textId="77777777" w:rsidR="00E0232C" w:rsidRDefault="00E0232C" w:rsidP="002F7961">
            <w:pPr>
              <w:rPr>
                <w:rFonts w:ascii="Times New Roman" w:eastAsiaTheme="minorEastAsia" w:hAnsi="Times New Roman"/>
                <w:noProof/>
                <w:sz w:val="24"/>
                <w:lang w:eastAsia="en-IE"/>
              </w:rPr>
            </w:pPr>
            <w:r>
              <w:rPr>
                <w:rFonts w:eastAsiaTheme="minorEastAsia"/>
                <w:noProof/>
                <w:lang w:eastAsia="en-IE"/>
              </w:rPr>
              <w:t>Martina Mullin</w:t>
            </w:r>
          </w:p>
          <w:p w14:paraId="2743213F" w14:textId="6587B3B3" w:rsidR="00E0232C" w:rsidRPr="00F07DC3" w:rsidRDefault="00E0232C" w:rsidP="002F7961">
            <w:pPr>
              <w:rPr>
                <w:rFonts w:ascii="Calibri" w:eastAsiaTheme="minorEastAsia" w:hAnsi="Calibri"/>
                <w:noProof/>
                <w:lang w:eastAsia="en-IE"/>
              </w:rPr>
            </w:pPr>
            <w:r>
              <w:rPr>
                <w:rFonts w:eastAsiaTheme="minorEastAsia"/>
                <w:noProof/>
                <w:lang w:eastAsia="en-IE"/>
              </w:rPr>
              <w:t>Health Promotion Officer</w:t>
            </w:r>
            <w:r w:rsidR="007852F7">
              <w:rPr>
                <w:rFonts w:eastAsiaTheme="minorEastAsia"/>
                <w:noProof/>
                <w:lang w:eastAsia="en-IE"/>
              </w:rPr>
              <w:t xml:space="preserve"> and Co-Chair of the Healthy Trinity Initiative</w:t>
            </w:r>
            <w:r>
              <w:rPr>
                <w:rFonts w:eastAsiaTheme="minorEastAsia"/>
                <w:noProof/>
                <w:lang w:eastAsia="en-IE"/>
              </w:rPr>
              <w:t xml:space="preserve"> </w:t>
            </w:r>
          </w:p>
        </w:tc>
        <w:tc>
          <w:tcPr>
            <w:tcW w:w="4626" w:type="dxa"/>
          </w:tcPr>
          <w:p w14:paraId="769254C3" w14:textId="76BA8190" w:rsidR="00E71109" w:rsidRPr="009E767B" w:rsidRDefault="00E71109" w:rsidP="00E71109">
            <w:pPr>
              <w:rPr>
                <w:rFonts w:eastAsiaTheme="minorEastAsia"/>
                <w:noProof/>
                <w:lang w:eastAsia="en-IE"/>
              </w:rPr>
            </w:pPr>
            <w:r>
              <w:rPr>
                <w:rFonts w:eastAsiaTheme="minorEastAsia"/>
                <w:noProof/>
                <w:lang w:eastAsia="en-IE"/>
              </w:rPr>
              <w:t xml:space="preserve">Dr </w:t>
            </w:r>
            <w:r w:rsidR="00B95330">
              <w:rPr>
                <w:rFonts w:eastAsiaTheme="minorEastAsia"/>
                <w:noProof/>
                <w:lang w:eastAsia="en-IE"/>
              </w:rPr>
              <w:t>Michael</w:t>
            </w:r>
            <w:r w:rsidRPr="009E767B">
              <w:rPr>
                <w:rFonts w:eastAsiaTheme="minorEastAsia"/>
                <w:noProof/>
                <w:lang w:eastAsia="en-IE"/>
              </w:rPr>
              <w:t xml:space="preserve"> </w:t>
            </w:r>
            <w:r w:rsidR="00B95330">
              <w:rPr>
                <w:rFonts w:eastAsiaTheme="minorEastAsia"/>
                <w:noProof/>
                <w:lang w:eastAsia="en-IE"/>
              </w:rPr>
              <w:t>McKillen</w:t>
            </w:r>
          </w:p>
          <w:p w14:paraId="330E2381" w14:textId="77777777" w:rsidR="00534A87" w:rsidRDefault="00534A87" w:rsidP="00534A87">
            <w:pPr>
              <w:rPr>
                <w:lang w:eastAsia="en-IE"/>
              </w:rPr>
            </w:pPr>
            <w:r>
              <w:rPr>
                <w:lang w:eastAsia="en-IE"/>
              </w:rPr>
              <w:t>Adjunct Assistant Professor,</w:t>
            </w:r>
          </w:p>
          <w:p w14:paraId="59EA63A2" w14:textId="4DB3BECE" w:rsidR="00B95330" w:rsidRPr="00F07DC3" w:rsidRDefault="00534A87" w:rsidP="00F07DC3">
            <w:pPr>
              <w:rPr>
                <w:lang w:eastAsia="en-IE"/>
              </w:rPr>
            </w:pPr>
            <w:r>
              <w:rPr>
                <w:lang w:eastAsia="en-IE"/>
              </w:rPr>
              <w:t>School of Biochemistry &amp; Immunology,</w:t>
            </w:r>
          </w:p>
        </w:tc>
      </w:tr>
      <w:tr w:rsidR="00DE0C65" w14:paraId="24A81F90" w14:textId="77777777" w:rsidTr="007852F7">
        <w:tc>
          <w:tcPr>
            <w:tcW w:w="4390" w:type="dxa"/>
          </w:tcPr>
          <w:p w14:paraId="74AD90BC" w14:textId="77777777" w:rsidR="00DE0C65" w:rsidRDefault="00DE0C65" w:rsidP="002F7961">
            <w:pPr>
              <w:rPr>
                <w:rFonts w:eastAsiaTheme="minorEastAsia"/>
                <w:noProof/>
                <w:lang w:eastAsia="en-IE"/>
              </w:rPr>
            </w:pPr>
            <w:r>
              <w:rPr>
                <w:rFonts w:eastAsiaTheme="minorEastAsia"/>
                <w:noProof/>
                <w:lang w:eastAsia="en-IE"/>
              </w:rPr>
              <w:t>Sarah Bowman</w:t>
            </w:r>
          </w:p>
          <w:p w14:paraId="6A61D253" w14:textId="77777777" w:rsidR="00DE0C65" w:rsidRDefault="00DE0C65" w:rsidP="002F7961">
            <w:pPr>
              <w:rPr>
                <w:rFonts w:eastAsiaTheme="minorEastAsia"/>
                <w:noProof/>
                <w:lang w:eastAsia="en-IE"/>
              </w:rPr>
            </w:pPr>
            <w:r>
              <w:rPr>
                <w:rFonts w:eastAsiaTheme="minorEastAsia"/>
                <w:noProof/>
                <w:lang w:eastAsia="en-IE"/>
              </w:rPr>
              <w:t>Director of Strategic Engagement</w:t>
            </w:r>
          </w:p>
        </w:tc>
        <w:tc>
          <w:tcPr>
            <w:tcW w:w="4626" w:type="dxa"/>
          </w:tcPr>
          <w:p w14:paraId="703C1849" w14:textId="77777777" w:rsidR="00DE0C65" w:rsidRDefault="00DE0C65" w:rsidP="00E71109">
            <w:pPr>
              <w:rPr>
                <w:rFonts w:eastAsiaTheme="minorEastAsia"/>
                <w:noProof/>
                <w:lang w:eastAsia="en-IE"/>
              </w:rPr>
            </w:pPr>
            <w:r>
              <w:rPr>
                <w:rFonts w:eastAsiaTheme="minorEastAsia"/>
                <w:noProof/>
                <w:lang w:eastAsia="en-IE"/>
              </w:rPr>
              <w:t>Prof. Clare Kelly</w:t>
            </w:r>
          </w:p>
          <w:p w14:paraId="45CEABF8" w14:textId="5428C6F6" w:rsidR="00094764" w:rsidRDefault="00094764" w:rsidP="00E71109">
            <w:pPr>
              <w:rPr>
                <w:rFonts w:eastAsiaTheme="minorEastAsia"/>
                <w:noProof/>
                <w:lang w:eastAsia="en-IE"/>
              </w:rPr>
            </w:pPr>
            <w:r>
              <w:rPr>
                <w:rFonts w:eastAsiaTheme="minorEastAsia"/>
                <w:noProof/>
                <w:lang w:eastAsia="en-IE"/>
              </w:rPr>
              <w:t>School of Psychology</w:t>
            </w:r>
          </w:p>
        </w:tc>
      </w:tr>
      <w:tr w:rsidR="00DE0C65" w14:paraId="7A240D79" w14:textId="77777777" w:rsidTr="007852F7">
        <w:tc>
          <w:tcPr>
            <w:tcW w:w="4390" w:type="dxa"/>
          </w:tcPr>
          <w:p w14:paraId="518B0677" w14:textId="1CCE579F" w:rsidR="00DE0C65" w:rsidRDefault="00094764" w:rsidP="002F7961">
            <w:pPr>
              <w:rPr>
                <w:rFonts w:eastAsiaTheme="minorEastAsia"/>
                <w:noProof/>
                <w:lang w:eastAsia="en-IE"/>
              </w:rPr>
            </w:pPr>
            <w:r>
              <w:rPr>
                <w:rFonts w:eastAsiaTheme="minorEastAsia"/>
                <w:noProof/>
                <w:lang w:eastAsia="en-IE"/>
              </w:rPr>
              <w:t>Clodagh Colleran</w:t>
            </w:r>
          </w:p>
          <w:p w14:paraId="401A5D48" w14:textId="61A794AB" w:rsidR="004345C3" w:rsidRDefault="004345C3" w:rsidP="002F7961">
            <w:pPr>
              <w:rPr>
                <w:rFonts w:eastAsiaTheme="minorEastAsia"/>
                <w:noProof/>
                <w:lang w:eastAsia="en-IE"/>
              </w:rPr>
            </w:pPr>
            <w:r>
              <w:rPr>
                <w:rFonts w:eastAsiaTheme="minorEastAsia"/>
                <w:noProof/>
                <w:lang w:eastAsia="en-IE"/>
              </w:rPr>
              <w:t>Administrative Officer</w:t>
            </w:r>
          </w:p>
          <w:p w14:paraId="53538925" w14:textId="2E0063D5" w:rsidR="00094764" w:rsidRDefault="004345C3" w:rsidP="004345C3">
            <w:pPr>
              <w:rPr>
                <w:rFonts w:eastAsiaTheme="minorEastAsia"/>
                <w:noProof/>
                <w:lang w:eastAsia="en-IE"/>
              </w:rPr>
            </w:pPr>
            <w:r>
              <w:rPr>
                <w:rFonts w:eastAsiaTheme="minorEastAsia"/>
                <w:noProof/>
                <w:lang w:eastAsia="en-IE"/>
              </w:rPr>
              <w:t>School of Medicine</w:t>
            </w:r>
          </w:p>
        </w:tc>
        <w:tc>
          <w:tcPr>
            <w:tcW w:w="4626" w:type="dxa"/>
          </w:tcPr>
          <w:p w14:paraId="46C12137" w14:textId="77777777" w:rsidR="00DE0C65" w:rsidRDefault="00DE0C65" w:rsidP="00E71109">
            <w:pPr>
              <w:rPr>
                <w:rFonts w:eastAsiaTheme="minorEastAsia"/>
                <w:noProof/>
                <w:lang w:eastAsia="en-IE"/>
              </w:rPr>
            </w:pPr>
          </w:p>
        </w:tc>
      </w:tr>
    </w:tbl>
    <w:p w14:paraId="1C52036B" w14:textId="730D0DBA" w:rsidR="00593D72" w:rsidRDefault="00593D72" w:rsidP="00CC39AD">
      <w:pPr>
        <w:pStyle w:val="Heading1"/>
      </w:pPr>
    </w:p>
    <w:sectPr w:rsidR="00593D7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9658" w14:textId="77777777" w:rsidR="00EF61E1" w:rsidRDefault="00EF61E1" w:rsidP="00561F8E">
      <w:pPr>
        <w:spacing w:after="0" w:line="240" w:lineRule="auto"/>
      </w:pPr>
      <w:r>
        <w:separator/>
      </w:r>
    </w:p>
  </w:endnote>
  <w:endnote w:type="continuationSeparator" w:id="0">
    <w:p w14:paraId="0D47E0C9" w14:textId="77777777" w:rsidR="00EF61E1" w:rsidRDefault="00EF61E1" w:rsidP="00561F8E">
      <w:pPr>
        <w:spacing w:after="0" w:line="240" w:lineRule="auto"/>
      </w:pPr>
      <w:r>
        <w:continuationSeparator/>
      </w:r>
    </w:p>
  </w:endnote>
  <w:endnote w:type="continuationNotice" w:id="1">
    <w:p w14:paraId="70B7BA2E" w14:textId="77777777" w:rsidR="00EF61E1" w:rsidRDefault="00EF6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198770"/>
      <w:docPartObj>
        <w:docPartGallery w:val="Page Numbers (Bottom of Page)"/>
        <w:docPartUnique/>
      </w:docPartObj>
    </w:sdtPr>
    <w:sdtEndPr>
      <w:rPr>
        <w:noProof/>
      </w:rPr>
    </w:sdtEndPr>
    <w:sdtContent>
      <w:p w14:paraId="0E8CBEA1" w14:textId="05722CFE" w:rsidR="006571FF" w:rsidRDefault="0065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86E07" w14:textId="77777777" w:rsidR="006571FF" w:rsidRDefault="0065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7003" w14:textId="77777777" w:rsidR="00EF61E1" w:rsidRDefault="00EF61E1" w:rsidP="00561F8E">
      <w:pPr>
        <w:spacing w:after="0" w:line="240" w:lineRule="auto"/>
      </w:pPr>
      <w:r>
        <w:separator/>
      </w:r>
    </w:p>
  </w:footnote>
  <w:footnote w:type="continuationSeparator" w:id="0">
    <w:p w14:paraId="49249205" w14:textId="77777777" w:rsidR="00EF61E1" w:rsidRDefault="00EF61E1" w:rsidP="00561F8E">
      <w:pPr>
        <w:spacing w:after="0" w:line="240" w:lineRule="auto"/>
      </w:pPr>
      <w:r>
        <w:continuationSeparator/>
      </w:r>
    </w:p>
  </w:footnote>
  <w:footnote w:type="continuationNotice" w:id="1">
    <w:p w14:paraId="4D1CAEEC" w14:textId="77777777" w:rsidR="00EF61E1" w:rsidRDefault="00EF61E1">
      <w:pPr>
        <w:spacing w:after="0" w:line="240" w:lineRule="auto"/>
      </w:pPr>
    </w:p>
  </w:footnote>
  <w:footnote w:id="2">
    <w:p w14:paraId="068F4E98" w14:textId="77777777" w:rsidR="000B672A" w:rsidRDefault="000B672A" w:rsidP="000B672A">
      <w:pPr>
        <w:pStyle w:val="FootnoteText"/>
      </w:pPr>
      <w:r>
        <w:rPr>
          <w:rStyle w:val="FootnoteReference"/>
        </w:rPr>
        <w:footnoteRef/>
      </w:r>
      <w:r>
        <w:t xml:space="preserve"> </w:t>
      </w:r>
      <w:hyperlink r:id="rId1" w:history="1">
        <w:r w:rsidRPr="00150A72">
          <w:rPr>
            <w:rStyle w:val="Hyperlink"/>
          </w:rPr>
          <w:t>https://www.tcd.ie/corporate-services/assets/pdf/annual-report-2018-2019.pdf</w:t>
        </w:r>
      </w:hyperlink>
      <w:r>
        <w:t xml:space="preserve"> </w:t>
      </w:r>
    </w:p>
  </w:footnote>
  <w:footnote w:id="3">
    <w:p w14:paraId="42C6CB13" w14:textId="77777777" w:rsidR="000B672A" w:rsidRDefault="000B672A" w:rsidP="000B672A">
      <w:pPr>
        <w:pStyle w:val="FootnoteText"/>
      </w:pPr>
      <w:r>
        <w:rPr>
          <w:rStyle w:val="FootnoteReference"/>
        </w:rPr>
        <w:footnoteRef/>
      </w:r>
      <w:r>
        <w:t xml:space="preserve"> </w:t>
      </w:r>
      <w:hyperlink r:id="rId2" w:history="1">
        <w:r w:rsidRPr="00150A72">
          <w:rPr>
            <w:rStyle w:val="Hyperlink"/>
          </w:rPr>
          <w:t>https://www.tcd.ie/healthytrinity/travel/Stats.php</w:t>
        </w:r>
      </w:hyperlink>
      <w:r>
        <w:t xml:space="preserve"> </w:t>
      </w:r>
    </w:p>
  </w:footnote>
  <w:footnote w:id="4">
    <w:p w14:paraId="5F697809" w14:textId="77777777" w:rsidR="000B672A" w:rsidRDefault="000B672A" w:rsidP="000B672A">
      <w:pPr>
        <w:pStyle w:val="FootnoteText"/>
      </w:pPr>
      <w:r>
        <w:rPr>
          <w:rStyle w:val="FootnoteReference"/>
        </w:rPr>
        <w:footnoteRef/>
      </w:r>
      <w:r>
        <w:t xml:space="preserve"> </w:t>
      </w:r>
      <w:hyperlink r:id="rId3" w:history="1">
        <w:r w:rsidRPr="00150A72">
          <w:rPr>
            <w:rStyle w:val="Hyperlink"/>
          </w:rPr>
          <w:t>https://www.tcd.ie/healthytrinity/liveabledublin/</w:t>
        </w:r>
      </w:hyperlink>
      <w:r>
        <w:t xml:space="preserve"> </w:t>
      </w:r>
    </w:p>
  </w:footnote>
  <w:footnote w:id="5">
    <w:p w14:paraId="6C2ECCD4" w14:textId="77777777" w:rsidR="000B672A" w:rsidRDefault="000B672A" w:rsidP="000B672A">
      <w:pPr>
        <w:pStyle w:val="FootnoteText"/>
      </w:pPr>
      <w:r>
        <w:rPr>
          <w:rStyle w:val="FootnoteReference"/>
        </w:rPr>
        <w:footnoteRef/>
      </w:r>
      <w:r>
        <w:t xml:space="preserve"> </w:t>
      </w:r>
      <w:hyperlink r:id="rId4" w:history="1">
        <w:r w:rsidRPr="00022F90">
          <w:rPr>
            <w:rStyle w:val="Hyperlink"/>
          </w:rPr>
          <w:t>https://www.tcd.ie/healthytrinity/assets/documents/Covid-19/TCD%20DCC%20Covid%2019%20Submission%20Final.pdf</w:t>
        </w:r>
      </w:hyperlink>
      <w:r>
        <w:t xml:space="preserve"> </w:t>
      </w:r>
    </w:p>
  </w:footnote>
  <w:footnote w:id="6">
    <w:p w14:paraId="50BD356B" w14:textId="1831C8CB" w:rsidR="000B672A" w:rsidRPr="00CC39AD" w:rsidRDefault="000B672A" w:rsidP="00CC39AD">
      <w:pPr>
        <w:rPr>
          <w:color w:val="0563C1" w:themeColor="hyperlink"/>
          <w:sz w:val="20"/>
          <w:szCs w:val="20"/>
          <w:u w:val="single"/>
        </w:rPr>
      </w:pPr>
      <w:r>
        <w:rPr>
          <w:rStyle w:val="FootnoteReference"/>
        </w:rPr>
        <w:footnoteRef/>
      </w:r>
      <w:r>
        <w:t xml:space="preserve"> </w:t>
      </w:r>
      <w:hyperlink r:id="rId5">
        <w:r w:rsidRPr="00EF3EBE">
          <w:rPr>
            <w:rStyle w:val="Hyperlink"/>
            <w:sz w:val="20"/>
            <w:szCs w:val="20"/>
          </w:rPr>
          <w:t>https://www.tcd.ie/news_events/articles/trinity-wins-best-green-campus-award-2020/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C12"/>
    <w:multiLevelType w:val="hybridMultilevel"/>
    <w:tmpl w:val="C8F027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002DA2"/>
    <w:multiLevelType w:val="hybridMultilevel"/>
    <w:tmpl w:val="A2F8B3C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5F658D"/>
    <w:multiLevelType w:val="multilevel"/>
    <w:tmpl w:val="5E06A7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4FA2310"/>
    <w:multiLevelType w:val="hybridMultilevel"/>
    <w:tmpl w:val="43EE7B3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71134AB"/>
    <w:multiLevelType w:val="hybridMultilevel"/>
    <w:tmpl w:val="73D09114"/>
    <w:lvl w:ilvl="0" w:tplc="3312BBF6">
      <w:start w:val="1"/>
      <w:numFmt w:val="bullet"/>
      <w:lvlText w:val=""/>
      <w:lvlJc w:val="left"/>
      <w:pPr>
        <w:ind w:left="720" w:hanging="360"/>
      </w:pPr>
      <w:rPr>
        <w:rFonts w:ascii="Symbol" w:hAnsi="Symbol" w:hint="default"/>
      </w:rPr>
    </w:lvl>
    <w:lvl w:ilvl="1" w:tplc="7E4E1BF8">
      <w:start w:val="1"/>
      <w:numFmt w:val="bullet"/>
      <w:lvlText w:val="o"/>
      <w:lvlJc w:val="left"/>
      <w:pPr>
        <w:ind w:left="1440" w:hanging="360"/>
      </w:pPr>
      <w:rPr>
        <w:rFonts w:ascii="Courier New" w:hAnsi="Courier New" w:hint="default"/>
      </w:rPr>
    </w:lvl>
    <w:lvl w:ilvl="2" w:tplc="4A364858">
      <w:start w:val="1"/>
      <w:numFmt w:val="bullet"/>
      <w:lvlText w:val=""/>
      <w:lvlJc w:val="left"/>
      <w:pPr>
        <w:ind w:left="2160" w:hanging="360"/>
      </w:pPr>
      <w:rPr>
        <w:rFonts w:ascii="Wingdings" w:hAnsi="Wingdings" w:hint="default"/>
      </w:rPr>
    </w:lvl>
    <w:lvl w:ilvl="3" w:tplc="A664D514">
      <w:start w:val="1"/>
      <w:numFmt w:val="bullet"/>
      <w:lvlText w:val=""/>
      <w:lvlJc w:val="left"/>
      <w:pPr>
        <w:ind w:left="2880" w:hanging="360"/>
      </w:pPr>
      <w:rPr>
        <w:rFonts w:ascii="Symbol" w:hAnsi="Symbol" w:hint="default"/>
      </w:rPr>
    </w:lvl>
    <w:lvl w:ilvl="4" w:tplc="F14802E4">
      <w:start w:val="1"/>
      <w:numFmt w:val="bullet"/>
      <w:lvlText w:val="o"/>
      <w:lvlJc w:val="left"/>
      <w:pPr>
        <w:ind w:left="3600" w:hanging="360"/>
      </w:pPr>
      <w:rPr>
        <w:rFonts w:ascii="Courier New" w:hAnsi="Courier New" w:hint="default"/>
      </w:rPr>
    </w:lvl>
    <w:lvl w:ilvl="5" w:tplc="5900C6F0">
      <w:start w:val="1"/>
      <w:numFmt w:val="bullet"/>
      <w:lvlText w:val=""/>
      <w:lvlJc w:val="left"/>
      <w:pPr>
        <w:ind w:left="4320" w:hanging="360"/>
      </w:pPr>
      <w:rPr>
        <w:rFonts w:ascii="Wingdings" w:hAnsi="Wingdings" w:hint="default"/>
      </w:rPr>
    </w:lvl>
    <w:lvl w:ilvl="6" w:tplc="79F4F5AA">
      <w:start w:val="1"/>
      <w:numFmt w:val="bullet"/>
      <w:lvlText w:val=""/>
      <w:lvlJc w:val="left"/>
      <w:pPr>
        <w:ind w:left="5040" w:hanging="360"/>
      </w:pPr>
      <w:rPr>
        <w:rFonts w:ascii="Symbol" w:hAnsi="Symbol" w:hint="default"/>
      </w:rPr>
    </w:lvl>
    <w:lvl w:ilvl="7" w:tplc="22F43ED0">
      <w:start w:val="1"/>
      <w:numFmt w:val="bullet"/>
      <w:lvlText w:val="o"/>
      <w:lvlJc w:val="left"/>
      <w:pPr>
        <w:ind w:left="5760" w:hanging="360"/>
      </w:pPr>
      <w:rPr>
        <w:rFonts w:ascii="Courier New" w:hAnsi="Courier New" w:hint="default"/>
      </w:rPr>
    </w:lvl>
    <w:lvl w:ilvl="8" w:tplc="0E1A75FC">
      <w:start w:val="1"/>
      <w:numFmt w:val="bullet"/>
      <w:lvlText w:val=""/>
      <w:lvlJc w:val="left"/>
      <w:pPr>
        <w:ind w:left="6480" w:hanging="360"/>
      </w:pPr>
      <w:rPr>
        <w:rFonts w:ascii="Wingdings" w:hAnsi="Wingdings" w:hint="default"/>
      </w:rPr>
    </w:lvl>
  </w:abstractNum>
  <w:abstractNum w:abstractNumId="5" w15:restartNumberingAfterBreak="0">
    <w:nsid w:val="4BD32F6C"/>
    <w:multiLevelType w:val="hybridMultilevel"/>
    <w:tmpl w:val="E08E5B9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406F1"/>
    <w:multiLevelType w:val="hybridMultilevel"/>
    <w:tmpl w:val="EA8CC08C"/>
    <w:lvl w:ilvl="0" w:tplc="3C04EEE8">
      <w:start w:val="12"/>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7910B76"/>
    <w:multiLevelType w:val="hybridMultilevel"/>
    <w:tmpl w:val="E330271A"/>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666209"/>
    <w:multiLevelType w:val="hybridMultilevel"/>
    <w:tmpl w:val="78EA26B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2F2AFC"/>
    <w:multiLevelType w:val="hybridMultilevel"/>
    <w:tmpl w:val="62EEC5B4"/>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C43D0E"/>
    <w:multiLevelType w:val="hybridMultilevel"/>
    <w:tmpl w:val="605C2CC4"/>
    <w:lvl w:ilvl="0" w:tplc="356849B0">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0"/>
  </w:num>
  <w:num w:numId="6">
    <w:abstractNumId w:val="0"/>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2"/>
    <w:rsid w:val="000003F7"/>
    <w:rsid w:val="00000437"/>
    <w:rsid w:val="00007547"/>
    <w:rsid w:val="00014DDF"/>
    <w:rsid w:val="0001504A"/>
    <w:rsid w:val="00017BF3"/>
    <w:rsid w:val="0002132E"/>
    <w:rsid w:val="000224BE"/>
    <w:rsid w:val="000231D7"/>
    <w:rsid w:val="000277AB"/>
    <w:rsid w:val="000334BA"/>
    <w:rsid w:val="00034A61"/>
    <w:rsid w:val="00035667"/>
    <w:rsid w:val="00043841"/>
    <w:rsid w:val="00053808"/>
    <w:rsid w:val="00055D01"/>
    <w:rsid w:val="00056250"/>
    <w:rsid w:val="00057578"/>
    <w:rsid w:val="0006034A"/>
    <w:rsid w:val="00064A2E"/>
    <w:rsid w:val="00065DEC"/>
    <w:rsid w:val="00067C85"/>
    <w:rsid w:val="00077192"/>
    <w:rsid w:val="00086201"/>
    <w:rsid w:val="00087079"/>
    <w:rsid w:val="00091108"/>
    <w:rsid w:val="00094764"/>
    <w:rsid w:val="000A051C"/>
    <w:rsid w:val="000A0ABC"/>
    <w:rsid w:val="000A3DB1"/>
    <w:rsid w:val="000A63BD"/>
    <w:rsid w:val="000A75EF"/>
    <w:rsid w:val="000B36AC"/>
    <w:rsid w:val="000B672A"/>
    <w:rsid w:val="000D0DD0"/>
    <w:rsid w:val="000D6308"/>
    <w:rsid w:val="000E02F2"/>
    <w:rsid w:val="000E040C"/>
    <w:rsid w:val="000E0C83"/>
    <w:rsid w:val="000E19F3"/>
    <w:rsid w:val="000E1F66"/>
    <w:rsid w:val="000E2442"/>
    <w:rsid w:val="000E288E"/>
    <w:rsid w:val="000E3802"/>
    <w:rsid w:val="000E6860"/>
    <w:rsid w:val="000F215C"/>
    <w:rsid w:val="000F5438"/>
    <w:rsid w:val="00100961"/>
    <w:rsid w:val="00107634"/>
    <w:rsid w:val="00107A2A"/>
    <w:rsid w:val="00110669"/>
    <w:rsid w:val="00110C66"/>
    <w:rsid w:val="0011135C"/>
    <w:rsid w:val="00112E1C"/>
    <w:rsid w:val="00120008"/>
    <w:rsid w:val="001305B6"/>
    <w:rsid w:val="001314CE"/>
    <w:rsid w:val="001339FA"/>
    <w:rsid w:val="0013774C"/>
    <w:rsid w:val="00137B10"/>
    <w:rsid w:val="00142303"/>
    <w:rsid w:val="001443B1"/>
    <w:rsid w:val="001503ED"/>
    <w:rsid w:val="001512B6"/>
    <w:rsid w:val="00155005"/>
    <w:rsid w:val="00155478"/>
    <w:rsid w:val="001556C1"/>
    <w:rsid w:val="0016441E"/>
    <w:rsid w:val="0016744F"/>
    <w:rsid w:val="00167F85"/>
    <w:rsid w:val="00171163"/>
    <w:rsid w:val="00173D2C"/>
    <w:rsid w:val="001749AB"/>
    <w:rsid w:val="00176633"/>
    <w:rsid w:val="00180AC9"/>
    <w:rsid w:val="00186A1F"/>
    <w:rsid w:val="001906DC"/>
    <w:rsid w:val="001A1CA9"/>
    <w:rsid w:val="001A7AE9"/>
    <w:rsid w:val="001B16B9"/>
    <w:rsid w:val="001B5168"/>
    <w:rsid w:val="001B516A"/>
    <w:rsid w:val="001C061A"/>
    <w:rsid w:val="001C390F"/>
    <w:rsid w:val="001C63B2"/>
    <w:rsid w:val="001D123B"/>
    <w:rsid w:val="001D39D3"/>
    <w:rsid w:val="001D4D96"/>
    <w:rsid w:val="001E0121"/>
    <w:rsid w:val="001E198D"/>
    <w:rsid w:val="001E53A1"/>
    <w:rsid w:val="001E5FDB"/>
    <w:rsid w:val="001F2317"/>
    <w:rsid w:val="001F2806"/>
    <w:rsid w:val="001F5249"/>
    <w:rsid w:val="0020025C"/>
    <w:rsid w:val="00201918"/>
    <w:rsid w:val="00203FA0"/>
    <w:rsid w:val="00206402"/>
    <w:rsid w:val="002107E2"/>
    <w:rsid w:val="002114D1"/>
    <w:rsid w:val="0021565A"/>
    <w:rsid w:val="00221DBF"/>
    <w:rsid w:val="002222CA"/>
    <w:rsid w:val="002225FB"/>
    <w:rsid w:val="002236C3"/>
    <w:rsid w:val="00224401"/>
    <w:rsid w:val="0022679C"/>
    <w:rsid w:val="002318F1"/>
    <w:rsid w:val="00233945"/>
    <w:rsid w:val="00235BF0"/>
    <w:rsid w:val="00242FF5"/>
    <w:rsid w:val="00246274"/>
    <w:rsid w:val="00247EA6"/>
    <w:rsid w:val="00254DE8"/>
    <w:rsid w:val="00257D45"/>
    <w:rsid w:val="0026294F"/>
    <w:rsid w:val="00270359"/>
    <w:rsid w:val="002810B5"/>
    <w:rsid w:val="0028340B"/>
    <w:rsid w:val="002912F7"/>
    <w:rsid w:val="00292023"/>
    <w:rsid w:val="00292568"/>
    <w:rsid w:val="0029522B"/>
    <w:rsid w:val="0029648E"/>
    <w:rsid w:val="00296F69"/>
    <w:rsid w:val="00296F88"/>
    <w:rsid w:val="002A2DF3"/>
    <w:rsid w:val="002A3332"/>
    <w:rsid w:val="002A6543"/>
    <w:rsid w:val="002B0BB8"/>
    <w:rsid w:val="002B6916"/>
    <w:rsid w:val="002C7D3D"/>
    <w:rsid w:val="002D3F68"/>
    <w:rsid w:val="002D5D9B"/>
    <w:rsid w:val="002F608F"/>
    <w:rsid w:val="002F6C74"/>
    <w:rsid w:val="002F7961"/>
    <w:rsid w:val="00304886"/>
    <w:rsid w:val="003056E7"/>
    <w:rsid w:val="00314F6F"/>
    <w:rsid w:val="00316674"/>
    <w:rsid w:val="00326033"/>
    <w:rsid w:val="00333E74"/>
    <w:rsid w:val="003364C2"/>
    <w:rsid w:val="0034057E"/>
    <w:rsid w:val="00352A8E"/>
    <w:rsid w:val="00360D7A"/>
    <w:rsid w:val="00362378"/>
    <w:rsid w:val="003625F4"/>
    <w:rsid w:val="00362B00"/>
    <w:rsid w:val="00362C7C"/>
    <w:rsid w:val="00365F5E"/>
    <w:rsid w:val="00374249"/>
    <w:rsid w:val="00374300"/>
    <w:rsid w:val="00374386"/>
    <w:rsid w:val="00376BC2"/>
    <w:rsid w:val="00383A9C"/>
    <w:rsid w:val="003863F3"/>
    <w:rsid w:val="003A0FAA"/>
    <w:rsid w:val="003A1CBE"/>
    <w:rsid w:val="003B33BC"/>
    <w:rsid w:val="003B7FC8"/>
    <w:rsid w:val="003C0A52"/>
    <w:rsid w:val="003C23AA"/>
    <w:rsid w:val="003C4F06"/>
    <w:rsid w:val="003C69AD"/>
    <w:rsid w:val="003D21DF"/>
    <w:rsid w:val="003D74A2"/>
    <w:rsid w:val="003E2C1B"/>
    <w:rsid w:val="003F0CBD"/>
    <w:rsid w:val="003F3839"/>
    <w:rsid w:val="003F4B7E"/>
    <w:rsid w:val="003F5ABA"/>
    <w:rsid w:val="00400649"/>
    <w:rsid w:val="004047E6"/>
    <w:rsid w:val="00404B90"/>
    <w:rsid w:val="004052A1"/>
    <w:rsid w:val="00406788"/>
    <w:rsid w:val="004138B4"/>
    <w:rsid w:val="004151A2"/>
    <w:rsid w:val="004157C6"/>
    <w:rsid w:val="00417F24"/>
    <w:rsid w:val="00430406"/>
    <w:rsid w:val="00432238"/>
    <w:rsid w:val="0043228C"/>
    <w:rsid w:val="00433992"/>
    <w:rsid w:val="004345C3"/>
    <w:rsid w:val="00443380"/>
    <w:rsid w:val="00450D65"/>
    <w:rsid w:val="00451F48"/>
    <w:rsid w:val="00453AC1"/>
    <w:rsid w:val="00453FDE"/>
    <w:rsid w:val="004578A2"/>
    <w:rsid w:val="00464A39"/>
    <w:rsid w:val="0047139E"/>
    <w:rsid w:val="0047154F"/>
    <w:rsid w:val="00471EDC"/>
    <w:rsid w:val="00480B0A"/>
    <w:rsid w:val="004832A5"/>
    <w:rsid w:val="00485EC4"/>
    <w:rsid w:val="004925A1"/>
    <w:rsid w:val="004936B4"/>
    <w:rsid w:val="00496FA4"/>
    <w:rsid w:val="004A2330"/>
    <w:rsid w:val="004A4149"/>
    <w:rsid w:val="004A4B30"/>
    <w:rsid w:val="004A52C6"/>
    <w:rsid w:val="004A5E11"/>
    <w:rsid w:val="004B4AD4"/>
    <w:rsid w:val="004B61CE"/>
    <w:rsid w:val="004C0CC6"/>
    <w:rsid w:val="004C15E9"/>
    <w:rsid w:val="004C4338"/>
    <w:rsid w:val="004D011F"/>
    <w:rsid w:val="004D0ACE"/>
    <w:rsid w:val="004D268C"/>
    <w:rsid w:val="004D3561"/>
    <w:rsid w:val="004D5268"/>
    <w:rsid w:val="004D6727"/>
    <w:rsid w:val="004D7A21"/>
    <w:rsid w:val="004E145E"/>
    <w:rsid w:val="004E2C93"/>
    <w:rsid w:val="004E672E"/>
    <w:rsid w:val="004F00C3"/>
    <w:rsid w:val="004F1812"/>
    <w:rsid w:val="004F7D09"/>
    <w:rsid w:val="005018EC"/>
    <w:rsid w:val="0050428E"/>
    <w:rsid w:val="00507141"/>
    <w:rsid w:val="005078D2"/>
    <w:rsid w:val="00511320"/>
    <w:rsid w:val="005155D0"/>
    <w:rsid w:val="00516F8E"/>
    <w:rsid w:val="00517557"/>
    <w:rsid w:val="00517942"/>
    <w:rsid w:val="005265DD"/>
    <w:rsid w:val="00530535"/>
    <w:rsid w:val="00532279"/>
    <w:rsid w:val="005332A0"/>
    <w:rsid w:val="00533C30"/>
    <w:rsid w:val="00534A87"/>
    <w:rsid w:val="00536272"/>
    <w:rsid w:val="0054287A"/>
    <w:rsid w:val="0054329F"/>
    <w:rsid w:val="005463A0"/>
    <w:rsid w:val="0054763A"/>
    <w:rsid w:val="00547EBF"/>
    <w:rsid w:val="00551C2E"/>
    <w:rsid w:val="005570F9"/>
    <w:rsid w:val="00561F8E"/>
    <w:rsid w:val="00566442"/>
    <w:rsid w:val="00567C97"/>
    <w:rsid w:val="0057231A"/>
    <w:rsid w:val="00572606"/>
    <w:rsid w:val="00572AD5"/>
    <w:rsid w:val="00574799"/>
    <w:rsid w:val="00577C3D"/>
    <w:rsid w:val="00583173"/>
    <w:rsid w:val="00586D9E"/>
    <w:rsid w:val="00587DFF"/>
    <w:rsid w:val="00593796"/>
    <w:rsid w:val="00593D72"/>
    <w:rsid w:val="005969D3"/>
    <w:rsid w:val="00596A76"/>
    <w:rsid w:val="00596E6E"/>
    <w:rsid w:val="0059712B"/>
    <w:rsid w:val="005A615A"/>
    <w:rsid w:val="005A6D77"/>
    <w:rsid w:val="005A6F0D"/>
    <w:rsid w:val="005B1C31"/>
    <w:rsid w:val="005B296E"/>
    <w:rsid w:val="005B2E47"/>
    <w:rsid w:val="005B37DA"/>
    <w:rsid w:val="005C0B51"/>
    <w:rsid w:val="005C32B9"/>
    <w:rsid w:val="005C3D4B"/>
    <w:rsid w:val="005E6212"/>
    <w:rsid w:val="00611D1B"/>
    <w:rsid w:val="00612211"/>
    <w:rsid w:val="00612B34"/>
    <w:rsid w:val="00614499"/>
    <w:rsid w:val="00615223"/>
    <w:rsid w:val="00616B31"/>
    <w:rsid w:val="00623189"/>
    <w:rsid w:val="00630009"/>
    <w:rsid w:val="00631F5E"/>
    <w:rsid w:val="00633546"/>
    <w:rsid w:val="00633E68"/>
    <w:rsid w:val="00635016"/>
    <w:rsid w:val="006409F8"/>
    <w:rsid w:val="00644112"/>
    <w:rsid w:val="00644541"/>
    <w:rsid w:val="00644A9A"/>
    <w:rsid w:val="006455AD"/>
    <w:rsid w:val="006571FF"/>
    <w:rsid w:val="006579E0"/>
    <w:rsid w:val="00663915"/>
    <w:rsid w:val="00663F1E"/>
    <w:rsid w:val="00665891"/>
    <w:rsid w:val="006746C0"/>
    <w:rsid w:val="006841FB"/>
    <w:rsid w:val="00687664"/>
    <w:rsid w:val="00694490"/>
    <w:rsid w:val="006A6BE4"/>
    <w:rsid w:val="006B27E2"/>
    <w:rsid w:val="006B3B06"/>
    <w:rsid w:val="006B3F72"/>
    <w:rsid w:val="006C015D"/>
    <w:rsid w:val="006C0DFD"/>
    <w:rsid w:val="006C18D2"/>
    <w:rsid w:val="006C3D39"/>
    <w:rsid w:val="006C4762"/>
    <w:rsid w:val="006C54FE"/>
    <w:rsid w:val="006C613D"/>
    <w:rsid w:val="006C6A7D"/>
    <w:rsid w:val="006C6CA4"/>
    <w:rsid w:val="006D67F8"/>
    <w:rsid w:val="006D6C85"/>
    <w:rsid w:val="006E0FC3"/>
    <w:rsid w:val="006E1828"/>
    <w:rsid w:val="006E1AE6"/>
    <w:rsid w:val="006F00E9"/>
    <w:rsid w:val="006F1D43"/>
    <w:rsid w:val="006F3E78"/>
    <w:rsid w:val="00702AE6"/>
    <w:rsid w:val="00703953"/>
    <w:rsid w:val="00704AF5"/>
    <w:rsid w:val="007110A9"/>
    <w:rsid w:val="00712002"/>
    <w:rsid w:val="00713C3E"/>
    <w:rsid w:val="00717ABE"/>
    <w:rsid w:val="00723C08"/>
    <w:rsid w:val="00724E70"/>
    <w:rsid w:val="00725C4F"/>
    <w:rsid w:val="0073337E"/>
    <w:rsid w:val="00734C38"/>
    <w:rsid w:val="007420C6"/>
    <w:rsid w:val="00747571"/>
    <w:rsid w:val="00747CEC"/>
    <w:rsid w:val="00751C33"/>
    <w:rsid w:val="00754345"/>
    <w:rsid w:val="007562E3"/>
    <w:rsid w:val="00757FEB"/>
    <w:rsid w:val="0076001E"/>
    <w:rsid w:val="00763510"/>
    <w:rsid w:val="00765DB3"/>
    <w:rsid w:val="0076752A"/>
    <w:rsid w:val="00770D87"/>
    <w:rsid w:val="0078395A"/>
    <w:rsid w:val="007852F7"/>
    <w:rsid w:val="007864E8"/>
    <w:rsid w:val="00791FE5"/>
    <w:rsid w:val="007922A1"/>
    <w:rsid w:val="00792CBF"/>
    <w:rsid w:val="00795618"/>
    <w:rsid w:val="007A10AF"/>
    <w:rsid w:val="007A48B4"/>
    <w:rsid w:val="007B307D"/>
    <w:rsid w:val="007B5E69"/>
    <w:rsid w:val="007B6230"/>
    <w:rsid w:val="007B6C13"/>
    <w:rsid w:val="007B6E3A"/>
    <w:rsid w:val="007C2C3C"/>
    <w:rsid w:val="007C43D6"/>
    <w:rsid w:val="007C43DF"/>
    <w:rsid w:val="007D0E2D"/>
    <w:rsid w:val="007D1A93"/>
    <w:rsid w:val="007D6FAC"/>
    <w:rsid w:val="007E1FE9"/>
    <w:rsid w:val="007E32CD"/>
    <w:rsid w:val="007E529D"/>
    <w:rsid w:val="007E65F8"/>
    <w:rsid w:val="007F025A"/>
    <w:rsid w:val="007F0F99"/>
    <w:rsid w:val="007F7EB9"/>
    <w:rsid w:val="00801AFA"/>
    <w:rsid w:val="00804620"/>
    <w:rsid w:val="008058F6"/>
    <w:rsid w:val="00806507"/>
    <w:rsid w:val="008131DF"/>
    <w:rsid w:val="00813335"/>
    <w:rsid w:val="00813A96"/>
    <w:rsid w:val="00813A99"/>
    <w:rsid w:val="008202CD"/>
    <w:rsid w:val="00836D53"/>
    <w:rsid w:val="00836E3F"/>
    <w:rsid w:val="008421E5"/>
    <w:rsid w:val="00842AD5"/>
    <w:rsid w:val="008467CC"/>
    <w:rsid w:val="00846A7D"/>
    <w:rsid w:val="00846E73"/>
    <w:rsid w:val="00852513"/>
    <w:rsid w:val="00852E38"/>
    <w:rsid w:val="00854DF5"/>
    <w:rsid w:val="00854E42"/>
    <w:rsid w:val="00855229"/>
    <w:rsid w:val="00855357"/>
    <w:rsid w:val="008567A0"/>
    <w:rsid w:val="0085799D"/>
    <w:rsid w:val="00860B79"/>
    <w:rsid w:val="008659A2"/>
    <w:rsid w:val="00866BD2"/>
    <w:rsid w:val="008768DF"/>
    <w:rsid w:val="00890969"/>
    <w:rsid w:val="00895C1F"/>
    <w:rsid w:val="008A40FD"/>
    <w:rsid w:val="008B1D22"/>
    <w:rsid w:val="008B3008"/>
    <w:rsid w:val="008B3658"/>
    <w:rsid w:val="008C47C7"/>
    <w:rsid w:val="008D3AFB"/>
    <w:rsid w:val="008D7F56"/>
    <w:rsid w:val="008E2C00"/>
    <w:rsid w:val="008E31F2"/>
    <w:rsid w:val="008F04AD"/>
    <w:rsid w:val="008F1B22"/>
    <w:rsid w:val="008F4F19"/>
    <w:rsid w:val="008F66E7"/>
    <w:rsid w:val="008F6C0A"/>
    <w:rsid w:val="00905F9F"/>
    <w:rsid w:val="00906854"/>
    <w:rsid w:val="00912025"/>
    <w:rsid w:val="0091458C"/>
    <w:rsid w:val="00923BAA"/>
    <w:rsid w:val="00925680"/>
    <w:rsid w:val="00927CF7"/>
    <w:rsid w:val="00930FD1"/>
    <w:rsid w:val="0093318C"/>
    <w:rsid w:val="009334F0"/>
    <w:rsid w:val="00935033"/>
    <w:rsid w:val="00941FAE"/>
    <w:rsid w:val="0094628E"/>
    <w:rsid w:val="00956021"/>
    <w:rsid w:val="009623B5"/>
    <w:rsid w:val="009627F8"/>
    <w:rsid w:val="009638F5"/>
    <w:rsid w:val="009639ED"/>
    <w:rsid w:val="00976473"/>
    <w:rsid w:val="009772C0"/>
    <w:rsid w:val="00977EBE"/>
    <w:rsid w:val="0098001C"/>
    <w:rsid w:val="00980DD0"/>
    <w:rsid w:val="00984508"/>
    <w:rsid w:val="009863EB"/>
    <w:rsid w:val="0099338A"/>
    <w:rsid w:val="009A0CC2"/>
    <w:rsid w:val="009A2050"/>
    <w:rsid w:val="009A391B"/>
    <w:rsid w:val="009A73C2"/>
    <w:rsid w:val="009A7E5E"/>
    <w:rsid w:val="009B2E4C"/>
    <w:rsid w:val="009B38AC"/>
    <w:rsid w:val="009B43E3"/>
    <w:rsid w:val="009B7601"/>
    <w:rsid w:val="009C0652"/>
    <w:rsid w:val="009C140A"/>
    <w:rsid w:val="009C148E"/>
    <w:rsid w:val="009C28E5"/>
    <w:rsid w:val="009C5F08"/>
    <w:rsid w:val="009C6263"/>
    <w:rsid w:val="009D14E4"/>
    <w:rsid w:val="009D17E6"/>
    <w:rsid w:val="009E1E22"/>
    <w:rsid w:val="009E3922"/>
    <w:rsid w:val="009E50ED"/>
    <w:rsid w:val="009F1B7C"/>
    <w:rsid w:val="009F3970"/>
    <w:rsid w:val="009F3C28"/>
    <w:rsid w:val="00A00299"/>
    <w:rsid w:val="00A00523"/>
    <w:rsid w:val="00A00817"/>
    <w:rsid w:val="00A20CF2"/>
    <w:rsid w:val="00A24DA4"/>
    <w:rsid w:val="00A25117"/>
    <w:rsid w:val="00A26066"/>
    <w:rsid w:val="00A260D5"/>
    <w:rsid w:val="00A26C6C"/>
    <w:rsid w:val="00A47A89"/>
    <w:rsid w:val="00A6100E"/>
    <w:rsid w:val="00A611F9"/>
    <w:rsid w:val="00A6136F"/>
    <w:rsid w:val="00A65509"/>
    <w:rsid w:val="00A722A2"/>
    <w:rsid w:val="00A72911"/>
    <w:rsid w:val="00A745E0"/>
    <w:rsid w:val="00A746B7"/>
    <w:rsid w:val="00A82404"/>
    <w:rsid w:val="00A9379B"/>
    <w:rsid w:val="00A94620"/>
    <w:rsid w:val="00AA1203"/>
    <w:rsid w:val="00AA7C5C"/>
    <w:rsid w:val="00AC575F"/>
    <w:rsid w:val="00AC731E"/>
    <w:rsid w:val="00AD1484"/>
    <w:rsid w:val="00AD1DD4"/>
    <w:rsid w:val="00AD6C3F"/>
    <w:rsid w:val="00AE5C86"/>
    <w:rsid w:val="00B02243"/>
    <w:rsid w:val="00B041D2"/>
    <w:rsid w:val="00B07D7A"/>
    <w:rsid w:val="00B1405A"/>
    <w:rsid w:val="00B15306"/>
    <w:rsid w:val="00B15796"/>
    <w:rsid w:val="00B20A77"/>
    <w:rsid w:val="00B21A27"/>
    <w:rsid w:val="00B25A88"/>
    <w:rsid w:val="00B34D77"/>
    <w:rsid w:val="00B3794D"/>
    <w:rsid w:val="00B50475"/>
    <w:rsid w:val="00B54915"/>
    <w:rsid w:val="00B617F5"/>
    <w:rsid w:val="00B70296"/>
    <w:rsid w:val="00B75967"/>
    <w:rsid w:val="00B76144"/>
    <w:rsid w:val="00B81223"/>
    <w:rsid w:val="00B82D44"/>
    <w:rsid w:val="00B85C8C"/>
    <w:rsid w:val="00B92081"/>
    <w:rsid w:val="00B937E5"/>
    <w:rsid w:val="00B94850"/>
    <w:rsid w:val="00B94DEC"/>
    <w:rsid w:val="00B95330"/>
    <w:rsid w:val="00B95FCD"/>
    <w:rsid w:val="00B96C57"/>
    <w:rsid w:val="00BA1AEA"/>
    <w:rsid w:val="00BA208B"/>
    <w:rsid w:val="00BA2A3B"/>
    <w:rsid w:val="00BA42EE"/>
    <w:rsid w:val="00BA4C99"/>
    <w:rsid w:val="00BA5149"/>
    <w:rsid w:val="00BA72A8"/>
    <w:rsid w:val="00BB0363"/>
    <w:rsid w:val="00BB16B0"/>
    <w:rsid w:val="00BB3569"/>
    <w:rsid w:val="00BC7146"/>
    <w:rsid w:val="00BD03FB"/>
    <w:rsid w:val="00BD7FA0"/>
    <w:rsid w:val="00BE4607"/>
    <w:rsid w:val="00BE63F4"/>
    <w:rsid w:val="00BE6B9C"/>
    <w:rsid w:val="00BE7B67"/>
    <w:rsid w:val="00BF430F"/>
    <w:rsid w:val="00BF5456"/>
    <w:rsid w:val="00BF6B40"/>
    <w:rsid w:val="00C02FDF"/>
    <w:rsid w:val="00C030CB"/>
    <w:rsid w:val="00C03BD1"/>
    <w:rsid w:val="00C03FF8"/>
    <w:rsid w:val="00C04089"/>
    <w:rsid w:val="00C046BA"/>
    <w:rsid w:val="00C1008A"/>
    <w:rsid w:val="00C16B62"/>
    <w:rsid w:val="00C2181D"/>
    <w:rsid w:val="00C2260C"/>
    <w:rsid w:val="00C26D4F"/>
    <w:rsid w:val="00C27550"/>
    <w:rsid w:val="00C32977"/>
    <w:rsid w:val="00C446C1"/>
    <w:rsid w:val="00C44C1D"/>
    <w:rsid w:val="00C44F5C"/>
    <w:rsid w:val="00C4596B"/>
    <w:rsid w:val="00C472E9"/>
    <w:rsid w:val="00C564E5"/>
    <w:rsid w:val="00C7405A"/>
    <w:rsid w:val="00C74CF5"/>
    <w:rsid w:val="00C75D9C"/>
    <w:rsid w:val="00C762E1"/>
    <w:rsid w:val="00C8367B"/>
    <w:rsid w:val="00C8438F"/>
    <w:rsid w:val="00C8797A"/>
    <w:rsid w:val="00C9599D"/>
    <w:rsid w:val="00C97788"/>
    <w:rsid w:val="00CA048B"/>
    <w:rsid w:val="00CA0E5B"/>
    <w:rsid w:val="00CA4D69"/>
    <w:rsid w:val="00CA4F7C"/>
    <w:rsid w:val="00CB4197"/>
    <w:rsid w:val="00CB4390"/>
    <w:rsid w:val="00CB5E34"/>
    <w:rsid w:val="00CB7847"/>
    <w:rsid w:val="00CC23AA"/>
    <w:rsid w:val="00CC2CCA"/>
    <w:rsid w:val="00CC39AD"/>
    <w:rsid w:val="00CC5B22"/>
    <w:rsid w:val="00CC77F0"/>
    <w:rsid w:val="00CD3F5B"/>
    <w:rsid w:val="00CD45CD"/>
    <w:rsid w:val="00CD7735"/>
    <w:rsid w:val="00CE2A11"/>
    <w:rsid w:val="00CE3C48"/>
    <w:rsid w:val="00D0281D"/>
    <w:rsid w:val="00D03EDC"/>
    <w:rsid w:val="00D055AE"/>
    <w:rsid w:val="00D07247"/>
    <w:rsid w:val="00D0762B"/>
    <w:rsid w:val="00D25CFA"/>
    <w:rsid w:val="00D326D9"/>
    <w:rsid w:val="00D3284E"/>
    <w:rsid w:val="00D4026C"/>
    <w:rsid w:val="00D45FC8"/>
    <w:rsid w:val="00D46C1F"/>
    <w:rsid w:val="00D51860"/>
    <w:rsid w:val="00D51C7C"/>
    <w:rsid w:val="00D5627C"/>
    <w:rsid w:val="00D56742"/>
    <w:rsid w:val="00D608D7"/>
    <w:rsid w:val="00D61037"/>
    <w:rsid w:val="00D650E6"/>
    <w:rsid w:val="00D6738D"/>
    <w:rsid w:val="00D7307D"/>
    <w:rsid w:val="00D77E91"/>
    <w:rsid w:val="00D86C01"/>
    <w:rsid w:val="00D92854"/>
    <w:rsid w:val="00DA5E70"/>
    <w:rsid w:val="00DB1C6D"/>
    <w:rsid w:val="00DB2129"/>
    <w:rsid w:val="00DB283F"/>
    <w:rsid w:val="00DB66BA"/>
    <w:rsid w:val="00DC29BD"/>
    <w:rsid w:val="00DC5A1F"/>
    <w:rsid w:val="00DC5DF6"/>
    <w:rsid w:val="00DC66E3"/>
    <w:rsid w:val="00DC7447"/>
    <w:rsid w:val="00DD105B"/>
    <w:rsid w:val="00DD19E1"/>
    <w:rsid w:val="00DE0C65"/>
    <w:rsid w:val="00DF0C8D"/>
    <w:rsid w:val="00DF43B7"/>
    <w:rsid w:val="00DF4770"/>
    <w:rsid w:val="00DF521A"/>
    <w:rsid w:val="00E00CB8"/>
    <w:rsid w:val="00E022C6"/>
    <w:rsid w:val="00E0232C"/>
    <w:rsid w:val="00E025B6"/>
    <w:rsid w:val="00E0575A"/>
    <w:rsid w:val="00E05BFC"/>
    <w:rsid w:val="00E0692F"/>
    <w:rsid w:val="00E137FF"/>
    <w:rsid w:val="00E13BC7"/>
    <w:rsid w:val="00E17B11"/>
    <w:rsid w:val="00E214E2"/>
    <w:rsid w:val="00E22317"/>
    <w:rsid w:val="00E24F90"/>
    <w:rsid w:val="00E26442"/>
    <w:rsid w:val="00E27FB4"/>
    <w:rsid w:val="00E32AB7"/>
    <w:rsid w:val="00E33C0A"/>
    <w:rsid w:val="00E33E38"/>
    <w:rsid w:val="00E40C70"/>
    <w:rsid w:val="00E434BF"/>
    <w:rsid w:val="00E43EB0"/>
    <w:rsid w:val="00E51C6E"/>
    <w:rsid w:val="00E532A4"/>
    <w:rsid w:val="00E60224"/>
    <w:rsid w:val="00E61240"/>
    <w:rsid w:val="00E6341B"/>
    <w:rsid w:val="00E679BB"/>
    <w:rsid w:val="00E70C8A"/>
    <w:rsid w:val="00E71109"/>
    <w:rsid w:val="00E72778"/>
    <w:rsid w:val="00E85721"/>
    <w:rsid w:val="00E86606"/>
    <w:rsid w:val="00E870AF"/>
    <w:rsid w:val="00E91422"/>
    <w:rsid w:val="00EA1966"/>
    <w:rsid w:val="00EA2A9C"/>
    <w:rsid w:val="00EA4545"/>
    <w:rsid w:val="00EA62E3"/>
    <w:rsid w:val="00EB063E"/>
    <w:rsid w:val="00EB2C7F"/>
    <w:rsid w:val="00EB3480"/>
    <w:rsid w:val="00EB635F"/>
    <w:rsid w:val="00EB6EBA"/>
    <w:rsid w:val="00EC1527"/>
    <w:rsid w:val="00EC5331"/>
    <w:rsid w:val="00ED2C85"/>
    <w:rsid w:val="00ED4867"/>
    <w:rsid w:val="00EE03A5"/>
    <w:rsid w:val="00EE6CAC"/>
    <w:rsid w:val="00EE710B"/>
    <w:rsid w:val="00EF064D"/>
    <w:rsid w:val="00EF06FA"/>
    <w:rsid w:val="00EF192E"/>
    <w:rsid w:val="00EF304D"/>
    <w:rsid w:val="00EF3EBE"/>
    <w:rsid w:val="00EF6106"/>
    <w:rsid w:val="00EF61E1"/>
    <w:rsid w:val="00EF6550"/>
    <w:rsid w:val="00F00C45"/>
    <w:rsid w:val="00F00CB5"/>
    <w:rsid w:val="00F05751"/>
    <w:rsid w:val="00F07BBF"/>
    <w:rsid w:val="00F07DC3"/>
    <w:rsid w:val="00F10C8D"/>
    <w:rsid w:val="00F122CE"/>
    <w:rsid w:val="00F13E73"/>
    <w:rsid w:val="00F15C87"/>
    <w:rsid w:val="00F2792A"/>
    <w:rsid w:val="00F345A4"/>
    <w:rsid w:val="00F421B7"/>
    <w:rsid w:val="00F4293F"/>
    <w:rsid w:val="00F5272C"/>
    <w:rsid w:val="00F5492E"/>
    <w:rsid w:val="00F56897"/>
    <w:rsid w:val="00F60B17"/>
    <w:rsid w:val="00F70349"/>
    <w:rsid w:val="00F812D5"/>
    <w:rsid w:val="00F820A2"/>
    <w:rsid w:val="00F82CD7"/>
    <w:rsid w:val="00F8396C"/>
    <w:rsid w:val="00F86A49"/>
    <w:rsid w:val="00F87F3C"/>
    <w:rsid w:val="00F920E8"/>
    <w:rsid w:val="00F92DE3"/>
    <w:rsid w:val="00F9418D"/>
    <w:rsid w:val="00F97E27"/>
    <w:rsid w:val="00FA141A"/>
    <w:rsid w:val="00FA14F9"/>
    <w:rsid w:val="00FA15FF"/>
    <w:rsid w:val="00FA1C96"/>
    <w:rsid w:val="00FA4478"/>
    <w:rsid w:val="00FB2C8D"/>
    <w:rsid w:val="00FC1428"/>
    <w:rsid w:val="00FC467A"/>
    <w:rsid w:val="00FC6E0E"/>
    <w:rsid w:val="00FC6E15"/>
    <w:rsid w:val="00FD64B4"/>
    <w:rsid w:val="00FE3D6D"/>
    <w:rsid w:val="00FE53B7"/>
    <w:rsid w:val="00FE57E4"/>
    <w:rsid w:val="00FE76D6"/>
    <w:rsid w:val="00FF1464"/>
    <w:rsid w:val="00FF5FEC"/>
    <w:rsid w:val="078B2C05"/>
    <w:rsid w:val="0926FC66"/>
    <w:rsid w:val="0F963DEA"/>
    <w:rsid w:val="0FCB6641"/>
    <w:rsid w:val="0FD99F5B"/>
    <w:rsid w:val="11320E4B"/>
    <w:rsid w:val="12037C2C"/>
    <w:rsid w:val="12819BDE"/>
    <w:rsid w:val="195E2B4A"/>
    <w:rsid w:val="1FFEA2FE"/>
    <w:rsid w:val="270F662B"/>
    <w:rsid w:val="2802812A"/>
    <w:rsid w:val="2DFC51E9"/>
    <w:rsid w:val="3534B6BE"/>
    <w:rsid w:val="3A0BB8B1"/>
    <w:rsid w:val="3CC1EE4E"/>
    <w:rsid w:val="3D37E756"/>
    <w:rsid w:val="406415FB"/>
    <w:rsid w:val="40BB3164"/>
    <w:rsid w:val="458EA287"/>
    <w:rsid w:val="4BDBA033"/>
    <w:rsid w:val="4C6CAD7B"/>
    <w:rsid w:val="54865D23"/>
    <w:rsid w:val="5A4DD440"/>
    <w:rsid w:val="5A66FC9D"/>
    <w:rsid w:val="5B52D20A"/>
    <w:rsid w:val="5CEEA26B"/>
    <w:rsid w:val="5D6F7BB5"/>
    <w:rsid w:val="5E8B1D6F"/>
    <w:rsid w:val="62D4DE33"/>
    <w:rsid w:val="6B57BAFD"/>
    <w:rsid w:val="6CF38B5E"/>
    <w:rsid w:val="6DF8C045"/>
    <w:rsid w:val="71C6FC81"/>
    <w:rsid w:val="71D40E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3B94"/>
  <w15:chartTrackingRefBased/>
  <w15:docId w15:val="{5FDCE585-369B-4C71-8A5A-75543D7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32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6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8E"/>
  </w:style>
  <w:style w:type="paragraph" w:styleId="Footer">
    <w:name w:val="footer"/>
    <w:basedOn w:val="Normal"/>
    <w:link w:val="FooterChar"/>
    <w:uiPriority w:val="99"/>
    <w:unhideWhenUsed/>
    <w:rsid w:val="0056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8E"/>
  </w:style>
  <w:style w:type="paragraph" w:styleId="ListParagraph">
    <w:name w:val="List Paragraph"/>
    <w:basedOn w:val="Normal"/>
    <w:uiPriority w:val="34"/>
    <w:qFormat/>
    <w:rsid w:val="005E6212"/>
    <w:pPr>
      <w:ind w:left="720"/>
      <w:contextualSpacing/>
    </w:pPr>
  </w:style>
  <w:style w:type="paragraph" w:styleId="BalloonText">
    <w:name w:val="Balloon Text"/>
    <w:basedOn w:val="Normal"/>
    <w:link w:val="BalloonTextChar"/>
    <w:uiPriority w:val="99"/>
    <w:semiHidden/>
    <w:unhideWhenUsed/>
    <w:rsid w:val="0011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66"/>
    <w:rPr>
      <w:rFonts w:ascii="Segoe UI" w:hAnsi="Segoe UI" w:cs="Segoe UI"/>
      <w:sz w:val="18"/>
      <w:szCs w:val="18"/>
    </w:rPr>
  </w:style>
  <w:style w:type="paragraph" w:styleId="FootnoteText">
    <w:name w:val="footnote text"/>
    <w:basedOn w:val="Normal"/>
    <w:link w:val="FootnoteTextChar"/>
    <w:uiPriority w:val="99"/>
    <w:semiHidden/>
    <w:unhideWhenUsed/>
    <w:rsid w:val="00000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437"/>
    <w:rPr>
      <w:sz w:val="20"/>
      <w:szCs w:val="20"/>
    </w:rPr>
  </w:style>
  <w:style w:type="character" w:styleId="FootnoteReference">
    <w:name w:val="footnote reference"/>
    <w:basedOn w:val="DefaultParagraphFont"/>
    <w:uiPriority w:val="99"/>
    <w:semiHidden/>
    <w:unhideWhenUsed/>
    <w:rsid w:val="00000437"/>
    <w:rPr>
      <w:vertAlign w:val="superscript"/>
    </w:rPr>
  </w:style>
  <w:style w:type="character" w:styleId="Hyperlink">
    <w:name w:val="Hyperlink"/>
    <w:basedOn w:val="DefaultParagraphFont"/>
    <w:uiPriority w:val="99"/>
    <w:unhideWhenUsed/>
    <w:rsid w:val="00C27550"/>
    <w:rPr>
      <w:color w:val="0563C1" w:themeColor="hyperlink"/>
      <w:u w:val="single"/>
    </w:rPr>
  </w:style>
  <w:style w:type="character" w:styleId="UnresolvedMention">
    <w:name w:val="Unresolved Mention"/>
    <w:basedOn w:val="DefaultParagraphFont"/>
    <w:uiPriority w:val="99"/>
    <w:semiHidden/>
    <w:unhideWhenUsed/>
    <w:rsid w:val="00C27550"/>
    <w:rPr>
      <w:color w:val="605E5C"/>
      <w:shd w:val="clear" w:color="auto" w:fill="E1DFDD"/>
    </w:rPr>
  </w:style>
  <w:style w:type="character" w:customStyle="1" w:styleId="Heading2Char">
    <w:name w:val="Heading 2 Char"/>
    <w:basedOn w:val="DefaultParagraphFont"/>
    <w:link w:val="Heading2"/>
    <w:uiPriority w:val="9"/>
    <w:rsid w:val="000E68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32C"/>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E0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D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405A"/>
    <w:pPr>
      <w:spacing w:after="0" w:line="240" w:lineRule="auto"/>
    </w:pPr>
  </w:style>
  <w:style w:type="paragraph" w:styleId="Revision">
    <w:name w:val="Revision"/>
    <w:hidden/>
    <w:uiPriority w:val="99"/>
    <w:semiHidden/>
    <w:rsid w:val="00B9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3390">
      <w:bodyDiv w:val="1"/>
      <w:marLeft w:val="0"/>
      <w:marRight w:val="0"/>
      <w:marTop w:val="0"/>
      <w:marBottom w:val="0"/>
      <w:divBdr>
        <w:top w:val="none" w:sz="0" w:space="0" w:color="auto"/>
        <w:left w:val="none" w:sz="0" w:space="0" w:color="auto"/>
        <w:bottom w:val="none" w:sz="0" w:space="0" w:color="auto"/>
        <w:right w:val="none" w:sz="0" w:space="0" w:color="auto"/>
      </w:divBdr>
    </w:div>
    <w:div w:id="260186030">
      <w:bodyDiv w:val="1"/>
      <w:marLeft w:val="0"/>
      <w:marRight w:val="0"/>
      <w:marTop w:val="0"/>
      <w:marBottom w:val="0"/>
      <w:divBdr>
        <w:top w:val="none" w:sz="0" w:space="0" w:color="auto"/>
        <w:left w:val="none" w:sz="0" w:space="0" w:color="auto"/>
        <w:bottom w:val="none" w:sz="0" w:space="0" w:color="auto"/>
        <w:right w:val="none" w:sz="0" w:space="0" w:color="auto"/>
      </w:divBdr>
    </w:div>
    <w:div w:id="378020968">
      <w:bodyDiv w:val="1"/>
      <w:marLeft w:val="0"/>
      <w:marRight w:val="0"/>
      <w:marTop w:val="0"/>
      <w:marBottom w:val="0"/>
      <w:divBdr>
        <w:top w:val="none" w:sz="0" w:space="0" w:color="auto"/>
        <w:left w:val="none" w:sz="0" w:space="0" w:color="auto"/>
        <w:bottom w:val="none" w:sz="0" w:space="0" w:color="auto"/>
        <w:right w:val="none" w:sz="0" w:space="0" w:color="auto"/>
      </w:divBdr>
    </w:div>
    <w:div w:id="492110745">
      <w:bodyDiv w:val="1"/>
      <w:marLeft w:val="0"/>
      <w:marRight w:val="0"/>
      <w:marTop w:val="0"/>
      <w:marBottom w:val="0"/>
      <w:divBdr>
        <w:top w:val="none" w:sz="0" w:space="0" w:color="auto"/>
        <w:left w:val="none" w:sz="0" w:space="0" w:color="auto"/>
        <w:bottom w:val="none" w:sz="0" w:space="0" w:color="auto"/>
        <w:right w:val="none" w:sz="0" w:space="0" w:color="auto"/>
      </w:divBdr>
    </w:div>
    <w:div w:id="531193887">
      <w:bodyDiv w:val="1"/>
      <w:marLeft w:val="0"/>
      <w:marRight w:val="0"/>
      <w:marTop w:val="0"/>
      <w:marBottom w:val="0"/>
      <w:divBdr>
        <w:top w:val="none" w:sz="0" w:space="0" w:color="auto"/>
        <w:left w:val="none" w:sz="0" w:space="0" w:color="auto"/>
        <w:bottom w:val="none" w:sz="0" w:space="0" w:color="auto"/>
        <w:right w:val="none" w:sz="0" w:space="0" w:color="auto"/>
      </w:divBdr>
    </w:div>
    <w:div w:id="821042857">
      <w:bodyDiv w:val="1"/>
      <w:marLeft w:val="0"/>
      <w:marRight w:val="0"/>
      <w:marTop w:val="0"/>
      <w:marBottom w:val="0"/>
      <w:divBdr>
        <w:top w:val="none" w:sz="0" w:space="0" w:color="auto"/>
        <w:left w:val="none" w:sz="0" w:space="0" w:color="auto"/>
        <w:bottom w:val="none" w:sz="0" w:space="0" w:color="auto"/>
        <w:right w:val="none" w:sz="0" w:space="0" w:color="auto"/>
      </w:divBdr>
    </w:div>
    <w:div w:id="851258260">
      <w:bodyDiv w:val="1"/>
      <w:marLeft w:val="0"/>
      <w:marRight w:val="0"/>
      <w:marTop w:val="0"/>
      <w:marBottom w:val="0"/>
      <w:divBdr>
        <w:top w:val="none" w:sz="0" w:space="0" w:color="auto"/>
        <w:left w:val="none" w:sz="0" w:space="0" w:color="auto"/>
        <w:bottom w:val="none" w:sz="0" w:space="0" w:color="auto"/>
        <w:right w:val="none" w:sz="0" w:space="0" w:color="auto"/>
      </w:divBdr>
    </w:div>
    <w:div w:id="870874574">
      <w:bodyDiv w:val="1"/>
      <w:marLeft w:val="0"/>
      <w:marRight w:val="0"/>
      <w:marTop w:val="0"/>
      <w:marBottom w:val="0"/>
      <w:divBdr>
        <w:top w:val="none" w:sz="0" w:space="0" w:color="auto"/>
        <w:left w:val="none" w:sz="0" w:space="0" w:color="auto"/>
        <w:bottom w:val="none" w:sz="0" w:space="0" w:color="auto"/>
        <w:right w:val="none" w:sz="0" w:space="0" w:color="auto"/>
      </w:divBdr>
    </w:div>
    <w:div w:id="1262564792">
      <w:bodyDiv w:val="1"/>
      <w:marLeft w:val="0"/>
      <w:marRight w:val="0"/>
      <w:marTop w:val="0"/>
      <w:marBottom w:val="0"/>
      <w:divBdr>
        <w:top w:val="none" w:sz="0" w:space="0" w:color="auto"/>
        <w:left w:val="none" w:sz="0" w:space="0" w:color="auto"/>
        <w:bottom w:val="none" w:sz="0" w:space="0" w:color="auto"/>
        <w:right w:val="none" w:sz="0" w:space="0" w:color="auto"/>
      </w:divBdr>
    </w:div>
    <w:div w:id="1530292730">
      <w:bodyDiv w:val="1"/>
      <w:marLeft w:val="0"/>
      <w:marRight w:val="0"/>
      <w:marTop w:val="0"/>
      <w:marBottom w:val="0"/>
      <w:divBdr>
        <w:top w:val="none" w:sz="0" w:space="0" w:color="auto"/>
        <w:left w:val="none" w:sz="0" w:space="0" w:color="auto"/>
        <w:bottom w:val="none" w:sz="0" w:space="0" w:color="auto"/>
        <w:right w:val="none" w:sz="0" w:space="0" w:color="auto"/>
      </w:divBdr>
    </w:div>
    <w:div w:id="1593589452">
      <w:bodyDiv w:val="1"/>
      <w:marLeft w:val="0"/>
      <w:marRight w:val="0"/>
      <w:marTop w:val="0"/>
      <w:marBottom w:val="0"/>
      <w:divBdr>
        <w:top w:val="none" w:sz="0" w:space="0" w:color="auto"/>
        <w:left w:val="none" w:sz="0" w:space="0" w:color="auto"/>
        <w:bottom w:val="none" w:sz="0" w:space="0" w:color="auto"/>
        <w:right w:val="none" w:sz="0" w:space="0" w:color="auto"/>
      </w:divBdr>
    </w:div>
    <w:div w:id="1747342401">
      <w:bodyDiv w:val="1"/>
      <w:marLeft w:val="0"/>
      <w:marRight w:val="0"/>
      <w:marTop w:val="0"/>
      <w:marBottom w:val="0"/>
      <w:divBdr>
        <w:top w:val="none" w:sz="0" w:space="0" w:color="auto"/>
        <w:left w:val="none" w:sz="0" w:space="0" w:color="auto"/>
        <w:bottom w:val="none" w:sz="0" w:space="0" w:color="auto"/>
        <w:right w:val="none" w:sz="0" w:space="0" w:color="auto"/>
      </w:divBdr>
    </w:div>
    <w:div w:id="17817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cop26cycling.com/" TargetMode="External"/><Relationship Id="rId4" Type="http://schemas.openxmlformats.org/officeDocument/2006/relationships/settings" Target="settings.xml"/><Relationship Id="rId9" Type="http://schemas.openxmlformats.org/officeDocument/2006/relationships/hyperlink" Target="https://www.tcd.ie/healthytrinity/travel/KeyRoutes.ph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cd.ie/healthytrinity/liveabledublin/" TargetMode="External"/><Relationship Id="rId2" Type="http://schemas.openxmlformats.org/officeDocument/2006/relationships/hyperlink" Target="https://www.tcd.ie/healthytrinity/travel/Stats.php" TargetMode="External"/><Relationship Id="rId1" Type="http://schemas.openxmlformats.org/officeDocument/2006/relationships/hyperlink" Target="https://www.tcd.ie/corporate-services/assets/pdf/annual-report-2018-2019.pdf" TargetMode="External"/><Relationship Id="rId5" Type="http://schemas.openxmlformats.org/officeDocument/2006/relationships/hyperlink" Target="https://www.tcd.ie/news_events/articles/trinity-wins-best-green-campus-award-2020/" TargetMode="External"/><Relationship Id="rId4" Type="http://schemas.openxmlformats.org/officeDocument/2006/relationships/hyperlink" Target="https://www.tcd.ie/healthytrinity/assets/documents/Covid-19/TCD%20DCC%20Covid%2019%20Submiss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B1C4-8B0C-4673-BB07-4963A99C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Links>
    <vt:vector size="60" baseType="variant">
      <vt:variant>
        <vt:i4>65591</vt:i4>
      </vt:variant>
      <vt:variant>
        <vt:i4>6</vt:i4>
      </vt:variant>
      <vt:variant>
        <vt:i4>0</vt:i4>
      </vt:variant>
      <vt:variant>
        <vt:i4>5</vt:i4>
      </vt:variant>
      <vt:variant>
        <vt:lpwstr>mailto:mmckilln@tcd.ie</vt:lpwstr>
      </vt:variant>
      <vt:variant>
        <vt:lpwstr/>
      </vt:variant>
      <vt:variant>
        <vt:i4>2556026</vt:i4>
      </vt:variant>
      <vt:variant>
        <vt:i4>3</vt:i4>
      </vt:variant>
      <vt:variant>
        <vt:i4>0</vt:i4>
      </vt:variant>
      <vt:variant>
        <vt:i4>5</vt:i4>
      </vt:variant>
      <vt:variant>
        <vt:lpwstr>http://www.tcd.ie/collegehealth/healthytrinity</vt:lpwstr>
      </vt:variant>
      <vt:variant>
        <vt:lpwstr/>
      </vt:variant>
      <vt:variant>
        <vt:i4>1441830</vt:i4>
      </vt:variant>
      <vt:variant>
        <vt:i4>0</vt:i4>
      </vt:variant>
      <vt:variant>
        <vt:i4>0</vt:i4>
      </vt:variant>
      <vt:variant>
        <vt:i4>5</vt:i4>
      </vt:variant>
      <vt:variant>
        <vt:lpwstr>mailto:healthp@tcd.ie</vt:lpwstr>
      </vt:variant>
      <vt:variant>
        <vt:lpwstr/>
      </vt:variant>
      <vt:variant>
        <vt:i4>2556023</vt:i4>
      </vt:variant>
      <vt:variant>
        <vt:i4>18</vt:i4>
      </vt:variant>
      <vt:variant>
        <vt:i4>0</vt:i4>
      </vt:variant>
      <vt:variant>
        <vt:i4>5</vt:i4>
      </vt:variant>
      <vt:variant>
        <vt:lpwstr>https://www.tcd.ie/innovation-district/</vt:lpwstr>
      </vt:variant>
      <vt:variant>
        <vt:lpwstr/>
      </vt:variant>
      <vt:variant>
        <vt:i4>3997727</vt:i4>
      </vt:variant>
      <vt:variant>
        <vt:i4>15</vt:i4>
      </vt:variant>
      <vt:variant>
        <vt:i4>0</vt:i4>
      </vt:variant>
      <vt:variant>
        <vt:i4>5</vt:i4>
      </vt:variant>
      <vt:variant>
        <vt:lpwstr>https://www.nationaltransport.ie/wp-content/uploads/2014/04/Written_Report11.pdf</vt:lpwstr>
      </vt:variant>
      <vt:variant>
        <vt:lpwstr/>
      </vt:variant>
      <vt:variant>
        <vt:i4>65637</vt:i4>
      </vt:variant>
      <vt:variant>
        <vt:i4>12</vt:i4>
      </vt:variant>
      <vt:variant>
        <vt:i4>0</vt:i4>
      </vt:variant>
      <vt:variant>
        <vt:i4>5</vt:i4>
      </vt:variant>
      <vt:variant>
        <vt:lpwstr>https://www.tcd.ie/news_events/articles/trinity-wins-best-green-campus-award-2020/</vt:lpwstr>
      </vt:variant>
      <vt:variant>
        <vt:lpwstr/>
      </vt:variant>
      <vt:variant>
        <vt:i4>4653066</vt:i4>
      </vt:variant>
      <vt:variant>
        <vt:i4>9</vt:i4>
      </vt:variant>
      <vt:variant>
        <vt:i4>0</vt:i4>
      </vt:variant>
      <vt:variant>
        <vt:i4>5</vt:i4>
      </vt:variant>
      <vt:variant>
        <vt:lpwstr>https://www.tcd.ie/healthytrinity/assets/documents/Covid-19/TCD DCC Covid 19 Submission Final.pdf</vt:lpwstr>
      </vt:variant>
      <vt:variant>
        <vt:lpwstr/>
      </vt:variant>
      <vt:variant>
        <vt:i4>6225922</vt:i4>
      </vt:variant>
      <vt:variant>
        <vt:i4>6</vt:i4>
      </vt:variant>
      <vt:variant>
        <vt:i4>0</vt:i4>
      </vt:variant>
      <vt:variant>
        <vt:i4>5</vt:i4>
      </vt:variant>
      <vt:variant>
        <vt:lpwstr>https://www.tcd.ie/healthytrinity/liveabledublin/</vt:lpwstr>
      </vt:variant>
      <vt:variant>
        <vt:lpwstr/>
      </vt:variant>
      <vt:variant>
        <vt:i4>2752611</vt:i4>
      </vt:variant>
      <vt:variant>
        <vt:i4>3</vt:i4>
      </vt:variant>
      <vt:variant>
        <vt:i4>0</vt:i4>
      </vt:variant>
      <vt:variant>
        <vt:i4>5</vt:i4>
      </vt:variant>
      <vt:variant>
        <vt:lpwstr>https://www.tcd.ie/healthytrinity/travel/Stats.php</vt:lpwstr>
      </vt:variant>
      <vt:variant>
        <vt:lpwstr/>
      </vt:variant>
      <vt:variant>
        <vt:i4>4653128</vt:i4>
      </vt:variant>
      <vt:variant>
        <vt:i4>0</vt:i4>
      </vt:variant>
      <vt:variant>
        <vt:i4>0</vt:i4>
      </vt:variant>
      <vt:variant>
        <vt:i4>5</vt:i4>
      </vt:variant>
      <vt:variant>
        <vt:lpwstr>https://www.tcd.ie/corporate-services/assets/pdf/annual-report-2018-2019.pdf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Mullin</dc:creator>
  <cp:keywords/>
  <dc:description/>
  <cp:lastModifiedBy>Martina Mullin</cp:lastModifiedBy>
  <cp:revision>620</cp:revision>
  <dcterms:created xsi:type="dcterms:W3CDTF">2021-01-14T19:25:00Z</dcterms:created>
  <dcterms:modified xsi:type="dcterms:W3CDTF">2022-01-07T10:42:00Z</dcterms:modified>
</cp:coreProperties>
</file>