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a number of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e.g.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w:t>
      </w:r>
      <w:proofErr w:type="spellStart"/>
      <w:r w:rsidR="003F3839" w:rsidRPr="006579E0">
        <w:rPr>
          <w:lang w:val="en-GB"/>
        </w:rPr>
        <w:t>Santry</w:t>
      </w:r>
      <w:proofErr w:type="spellEnd"/>
      <w:r w:rsidR="003F3839" w:rsidRPr="006579E0">
        <w:rPr>
          <w:lang w:val="en-GB"/>
        </w:rPr>
        <w:t xml:space="preserve">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(e.g.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65AE5159" w14:textId="77777777" w:rsidR="00D0762B" w:rsidRDefault="00D0762B" w:rsidP="00A26066"/>
    <w:p w14:paraId="0086FDF9" w14:textId="0F99E46D" w:rsidR="00376BC2" w:rsidRDefault="00C03BD1" w:rsidP="00C03BD1">
      <w:pPr>
        <w:pStyle w:val="Heading2"/>
      </w:pPr>
      <w:r>
        <w:t xml:space="preserve">Trinity’s Feedback on </w:t>
      </w:r>
      <w:r w:rsidR="00AA7C5C">
        <w:t>the Strategy</w:t>
      </w:r>
    </w:p>
    <w:p w14:paraId="5C724B99" w14:textId="5FC0F9AA" w:rsidR="00EA2A9C" w:rsidRDefault="00EA2A9C" w:rsidP="00EA2A9C">
      <w:pPr>
        <w:pStyle w:val="Heading3"/>
      </w:pPr>
      <w:r>
        <w:t xml:space="preserve">Chapter 11: </w:t>
      </w:r>
      <w:r w:rsidR="007110A9">
        <w:t>Cycling and Personal Mobility Devices</w:t>
      </w:r>
    </w:p>
    <w:p w14:paraId="1B5A6702" w14:textId="77777777" w:rsidR="004E145E" w:rsidRPr="00070A6A" w:rsidRDefault="004E145E" w:rsidP="004E145E">
      <w:pPr>
        <w:autoSpaceDE w:val="0"/>
        <w:autoSpaceDN w:val="0"/>
        <w:adjustRightInd w:val="0"/>
        <w:rPr>
          <w:rFonts w:ascii="Calibri" w:hAnsi="Calibri" w:cs="Calibri"/>
          <w:lang w:val="en-GB"/>
        </w:rPr>
      </w:pPr>
      <w:r w:rsidRPr="00070A6A">
        <w:rPr>
          <w:rFonts w:ascii="Calibri" w:hAnsi="Calibri" w:cs="Calibri"/>
          <w:lang w:val="en-GB"/>
        </w:rPr>
        <w:t xml:space="preserve">This section says nothing about a commitment </w:t>
      </w:r>
      <w:r w:rsidRPr="00070A6A">
        <w:rPr>
          <w:rFonts w:ascii="Calibri" w:hAnsi="Calibri" w:cs="Calibri"/>
          <w:i/>
          <w:iCs/>
          <w:lang w:val="en-GB"/>
        </w:rPr>
        <w:t>specifically</w:t>
      </w:r>
      <w:r w:rsidRPr="00070A6A">
        <w:rPr>
          <w:rFonts w:ascii="Calibri" w:hAnsi="Calibri" w:cs="Calibri"/>
          <w:lang w:val="en-GB"/>
        </w:rPr>
        <w:t xml:space="preserve"> to safe, fully segregated, fully connected cycling infrastructure, despite highlighting the fact that the overwhelming majority want this and say it would help them to cycle more!</w:t>
      </w:r>
    </w:p>
    <w:p w14:paraId="762E6A00" w14:textId="77777777" w:rsidR="004E145E" w:rsidRPr="00E72873" w:rsidRDefault="004E145E" w:rsidP="004E145E">
      <w:pPr>
        <w:autoSpaceDE w:val="0"/>
        <w:autoSpaceDN w:val="0"/>
        <w:adjustRightInd w:val="0"/>
        <w:rPr>
          <w:rFonts w:ascii="Calibri" w:hAnsi="Calibri" w:cs="Calibri"/>
          <w:lang w:val="en-GB"/>
        </w:rPr>
      </w:pPr>
      <w:r w:rsidRPr="00E72873">
        <w:rPr>
          <w:rFonts w:ascii="Calibri" w:hAnsi="Calibri" w:cs="Calibri"/>
          <w:lang w:val="en-GB"/>
        </w:rPr>
        <w:lastRenderedPageBreak/>
        <w:t>“69% would find more cycle tracks along roads, physically</w:t>
      </w:r>
      <w:r w:rsidRPr="00070A6A">
        <w:rPr>
          <w:rFonts w:ascii="Calibri" w:hAnsi="Calibri" w:cs="Calibri"/>
          <w:lang w:val="en-GB"/>
        </w:rPr>
        <w:t xml:space="preserve"> </w:t>
      </w:r>
      <w:r w:rsidRPr="00E72873">
        <w:rPr>
          <w:rFonts w:ascii="Calibri" w:hAnsi="Calibri" w:cs="Calibri"/>
          <w:lang w:val="en-GB"/>
        </w:rPr>
        <w:t>separated from traffic and pedestrians useful to help them</w:t>
      </w:r>
      <w:r w:rsidRPr="00070A6A">
        <w:rPr>
          <w:rFonts w:ascii="Calibri" w:hAnsi="Calibri" w:cs="Calibri"/>
          <w:lang w:val="en-GB"/>
        </w:rPr>
        <w:t xml:space="preserve"> </w:t>
      </w:r>
      <w:r w:rsidRPr="00E72873">
        <w:rPr>
          <w:rFonts w:ascii="Calibri" w:hAnsi="Calibri" w:cs="Calibri"/>
          <w:lang w:val="en-GB"/>
        </w:rPr>
        <w:t>cycle more.</w:t>
      </w:r>
      <w:r w:rsidRPr="00070A6A">
        <w:rPr>
          <w:rFonts w:ascii="Calibri" w:hAnsi="Calibri" w:cs="Calibri"/>
          <w:lang w:val="en-GB"/>
        </w:rPr>
        <w:t>"</w:t>
      </w:r>
    </w:p>
    <w:p w14:paraId="6DA57DA1" w14:textId="77777777" w:rsidR="004E145E" w:rsidRPr="00070A6A" w:rsidRDefault="004E145E" w:rsidP="004E145E">
      <w:pPr>
        <w:autoSpaceDE w:val="0"/>
        <w:autoSpaceDN w:val="0"/>
        <w:adjustRightInd w:val="0"/>
        <w:rPr>
          <w:rFonts w:ascii="Calibri" w:hAnsi="Calibri" w:cs="Calibri"/>
          <w:lang w:val="en-GB"/>
        </w:rPr>
      </w:pPr>
      <w:r w:rsidRPr="00E72873">
        <w:rPr>
          <w:rFonts w:ascii="Calibri" w:hAnsi="Calibri" w:cs="Calibri"/>
          <w:lang w:val="en-GB"/>
        </w:rPr>
        <w:t>“84% of residents also support building more physically</w:t>
      </w:r>
      <w:r w:rsidRPr="00070A6A">
        <w:rPr>
          <w:rFonts w:ascii="Calibri" w:hAnsi="Calibri" w:cs="Calibri"/>
          <w:lang w:val="en-GB"/>
        </w:rPr>
        <w:t xml:space="preserve"> </w:t>
      </w:r>
      <w:r w:rsidRPr="00E72873">
        <w:rPr>
          <w:rFonts w:ascii="Calibri" w:hAnsi="Calibri" w:cs="Calibri"/>
          <w:lang w:val="en-GB"/>
        </w:rPr>
        <w:t>separated on-road cycle tracks, even when this would</w:t>
      </w:r>
      <w:r w:rsidRPr="00070A6A">
        <w:rPr>
          <w:rFonts w:ascii="Calibri" w:hAnsi="Calibri" w:cs="Calibri"/>
          <w:lang w:val="en-GB"/>
        </w:rPr>
        <w:t xml:space="preserve"> mean less space for other road traffic."</w:t>
      </w:r>
    </w:p>
    <w:p w14:paraId="590F52A8" w14:textId="0A92E3BA" w:rsidR="00292568" w:rsidRDefault="004E145E" w:rsidP="00450D65">
      <w:pPr>
        <w:autoSpaceDE w:val="0"/>
        <w:autoSpaceDN w:val="0"/>
        <w:adjustRightInd w:val="0"/>
        <w:rPr>
          <w:rFonts w:ascii="Calibri" w:hAnsi="Calibri" w:cs="Calibri"/>
          <w:lang w:val="en-GB"/>
        </w:rPr>
      </w:pPr>
      <w:r w:rsidRPr="00070A6A">
        <w:rPr>
          <w:rFonts w:ascii="Calibri" w:hAnsi="Calibri" w:cs="Calibri"/>
          <w:lang w:val="en-GB"/>
        </w:rPr>
        <w:t>Throughout this section, "Cycle Network" is entirely vague - especially since it is considered to be in existence already. This section should spell out what a cycling network is. Overall, a disappointing section - to achieve aims of 51% reduction in GHG emissions, cycling should be prioritised in this strategy</w:t>
      </w:r>
    </w:p>
    <w:p w14:paraId="6C267CE0" w14:textId="4CAD0EBB" w:rsidR="008567A0" w:rsidRDefault="00BF430F" w:rsidP="008567A0">
      <w:pPr>
        <w:rPr>
          <w:lang w:val="en-GB"/>
        </w:rPr>
      </w:pPr>
      <w:r>
        <w:rPr>
          <w:lang w:val="en-GB"/>
        </w:rPr>
        <w:t xml:space="preserve">This </w:t>
      </w:r>
      <w:r w:rsidR="008567A0">
        <w:rPr>
          <w:lang w:val="en-GB"/>
        </w:rPr>
        <w:t>recent EU Commission decision</w:t>
      </w:r>
      <w:r>
        <w:rPr>
          <w:lang w:val="en-GB"/>
        </w:rPr>
        <w:t xml:space="preserve"> </w:t>
      </w:r>
      <w:r w:rsidR="00F122CE">
        <w:rPr>
          <w:lang w:val="en-GB"/>
        </w:rPr>
        <w:t>under its</w:t>
      </w:r>
      <w:r>
        <w:rPr>
          <w:lang w:val="en-GB"/>
        </w:rPr>
        <w:t xml:space="preserve"> Urban Mobility Framework (UMF) recognises the primary role of cycling </w:t>
      </w:r>
      <w:r w:rsidR="005332A0">
        <w:rPr>
          <w:lang w:val="en-GB"/>
        </w:rPr>
        <w:t xml:space="preserve">and other forms of active transport </w:t>
      </w:r>
      <w:r>
        <w:rPr>
          <w:lang w:val="en-GB"/>
        </w:rPr>
        <w:t xml:space="preserve">in moving people in cities/towns. </w:t>
      </w:r>
      <w:r w:rsidR="008567A0">
        <w:rPr>
          <w:lang w:val="en-GB"/>
        </w:rPr>
        <w:t xml:space="preserve"> </w:t>
      </w:r>
      <w:hyperlink r:id="rId10" w:history="1">
        <w:r w:rsidR="008567A0">
          <w:rPr>
            <w:rStyle w:val="Hyperlink"/>
            <w:lang w:val="en-GB"/>
          </w:rPr>
          <w:t>https://ecf.com/news-and-events/news/ecf-analysis-new-european-urban-mobility-framework-major-win-cycling</w:t>
        </w:r>
      </w:hyperlink>
      <w:r>
        <w:rPr>
          <w:lang w:val="en-GB"/>
        </w:rPr>
        <w:t xml:space="preserve">.  Trinity would like to see this decision incorporated into the Greater Dublin Area </w:t>
      </w:r>
      <w:r w:rsidR="006F3E78">
        <w:rPr>
          <w:lang w:val="en-GB"/>
        </w:rPr>
        <w:t>Transport Strategy</w:t>
      </w:r>
      <w:r w:rsidR="003B33BC">
        <w:rPr>
          <w:lang w:val="en-GB"/>
        </w:rPr>
        <w:t xml:space="preserve">.  </w:t>
      </w:r>
    </w:p>
    <w:p w14:paraId="40371B6E" w14:textId="1B64D831" w:rsidR="008567A0" w:rsidRPr="006F3E78" w:rsidRDefault="008567A0" w:rsidP="006F3E78">
      <w:pPr>
        <w:rPr>
          <w:lang w:val="en-GB"/>
        </w:rPr>
      </w:pPr>
      <w:r>
        <w:rPr>
          <w:lang w:val="en-GB"/>
        </w:rPr>
        <w:t xml:space="preserve">The ECF </w:t>
      </w:r>
      <w:hyperlink r:id="rId11" w:history="1">
        <w:r>
          <w:rPr>
            <w:rStyle w:val="Hyperlink"/>
            <w:lang w:val="en-GB"/>
          </w:rPr>
          <w:t>states</w:t>
        </w:r>
      </w:hyperlink>
      <w:r>
        <w:rPr>
          <w:lang w:val="en-GB"/>
        </w:rPr>
        <w:t xml:space="preserve"> in its response to UMF (22 Dec</w:t>
      </w:r>
      <w:r w:rsidR="006F3E78">
        <w:rPr>
          <w:lang w:val="en-GB"/>
        </w:rPr>
        <w:t xml:space="preserve"> 2021</w:t>
      </w:r>
      <w:r>
        <w:rPr>
          <w:lang w:val="en-GB"/>
        </w:rPr>
        <w:t xml:space="preserve">): We also applaud the Commission’s emphasis on mobility as “a critical aspect of social inclusion and an important determinant of human well-being, especially for disadvantaged groups,” and that transport is “an essential service in the </w:t>
      </w:r>
      <w:hyperlink r:id="rId12" w:tgtFrame="_blank" w:history="1">
        <w:r>
          <w:rPr>
            <w:rStyle w:val="Hyperlink"/>
            <w:lang w:val="en-GB"/>
          </w:rPr>
          <w:t>European Pillar of Social Rights</w:t>
        </w:r>
      </w:hyperlink>
      <w:r>
        <w:rPr>
          <w:lang w:val="en-GB"/>
        </w:rPr>
        <w:t xml:space="preserve">.” </w:t>
      </w:r>
    </w:p>
    <w:p w14:paraId="66E31F37" w14:textId="5B84061D" w:rsidR="00A20CF2" w:rsidRDefault="00CA4D69" w:rsidP="00A20CF2">
      <w:pPr>
        <w:rPr>
          <w:lang w:val="en-GB" w:eastAsia="en-IE"/>
        </w:rPr>
      </w:pPr>
      <w:r>
        <w:rPr>
          <w:lang w:val="en-GB"/>
        </w:rPr>
        <w:t>Trinity would like the protection of COVID19 measures – Nassau Street contraflow cycle track, etc.</w:t>
      </w:r>
      <w:r w:rsidR="004D6727">
        <w:rPr>
          <w:lang w:val="en-GB"/>
        </w:rPr>
        <w:t xml:space="preserve">  Trinity is concerned by the statement ““It is inevitable that not all temporary measures will be retained via the formal planning process but the change in mentality as to what is possible for cycling must be harnessed and built upon over the coming years to deliver the step-change in facilities that is being demanded”.  </w:t>
      </w:r>
      <w:r w:rsidR="00A20CF2">
        <w:rPr>
          <w:lang w:val="en-GB"/>
        </w:rPr>
        <w:t xml:space="preserve"> </w:t>
      </w:r>
      <w:r w:rsidR="00A20CF2">
        <w:rPr>
          <w:lang w:val="en-GB" w:eastAsia="en-IE"/>
        </w:rPr>
        <w:t>While there has been a number of high quality schemes delivered across the region, such as along sections of the canals and on some key radial routes, the requirement to deliver a coherent network linking origins and destinations and catering for trips within communities and to schools remains. The need to deliver this comprehensive network has become even more apparent during the Covid-19 pandemic.</w:t>
      </w:r>
    </w:p>
    <w:p w14:paraId="32316B01" w14:textId="77777777" w:rsidR="00A20CF2" w:rsidRDefault="00A20CF2" w:rsidP="00A20CF2">
      <w:pPr>
        <w:rPr>
          <w:lang w:val="en-GB" w:eastAsia="en-IE"/>
        </w:rPr>
      </w:pPr>
      <w:r>
        <w:rPr>
          <w:lang w:val="en-GB" w:eastAsia="en-IE"/>
        </w:rPr>
        <w:t>This is a crucial issue. There is no safe, segregated and comfortable cycling route between the main campus and any of the other Trinity campuses.</w:t>
      </w:r>
    </w:p>
    <w:p w14:paraId="2CE2E007" w14:textId="77777777" w:rsidR="00A20CF2" w:rsidRDefault="00A20CF2" w:rsidP="00A20CF2">
      <w:pPr>
        <w:rPr>
          <w:lang w:val="en-GB" w:eastAsia="en-IE"/>
        </w:rPr>
      </w:pPr>
      <w:r>
        <w:rPr>
          <w:lang w:val="en-GB" w:eastAsia="en-IE"/>
        </w:rPr>
        <w:t>Holding onto what we gained under COVID19 emergency measures is vital – The Nassau St. contraflow, for example.</w:t>
      </w:r>
    </w:p>
    <w:p w14:paraId="331A44B6" w14:textId="16A00B8E" w:rsidR="00DD105B" w:rsidRPr="00572AD5" w:rsidRDefault="00DD105B" w:rsidP="00DD105B">
      <w:pPr>
        <w:pStyle w:val="ListParagraph"/>
        <w:numPr>
          <w:ilvl w:val="0"/>
          <w:numId w:val="4"/>
        </w:numPr>
        <w:autoSpaceDE w:val="0"/>
        <w:autoSpaceDN w:val="0"/>
        <w:adjustRightInd w:val="0"/>
        <w:rPr>
          <w:rFonts w:ascii="Calibri" w:hAnsi="Calibri" w:cs="Calibri"/>
          <w:b/>
          <w:bCs/>
        </w:rPr>
      </w:pPr>
      <w:r w:rsidRPr="00DD105B">
        <w:rPr>
          <w:rFonts w:ascii="Calibri" w:hAnsi="Calibri" w:cs="Calibri"/>
          <w:b/>
          <w:bCs/>
        </w:rPr>
        <w:t xml:space="preserve">11.3 </w:t>
      </w:r>
      <w:r w:rsidRPr="00DD105B">
        <w:rPr>
          <w:rFonts w:ascii="Calibri" w:hAnsi="Calibri" w:cs="Calibri"/>
          <w:b/>
          <w:bCs/>
          <w:lang w:val="en-GB"/>
        </w:rPr>
        <w:t>GDA Cycle Network</w:t>
      </w:r>
      <w:r>
        <w:rPr>
          <w:rFonts w:ascii="Calibri" w:hAnsi="Calibri" w:cs="Calibri"/>
          <w:b/>
          <w:bCs/>
          <w:lang w:val="en-GB"/>
        </w:rPr>
        <w:t xml:space="preserve">: </w:t>
      </w:r>
      <w:r w:rsidRPr="00DD105B">
        <w:rPr>
          <w:rFonts w:ascii="Calibri" w:hAnsi="Calibri" w:cs="Calibri"/>
        </w:rPr>
        <w:t>Figure 11.1 - Where is this? What do the different coloured roads correspond to here? Legend/key needed.</w:t>
      </w:r>
    </w:p>
    <w:p w14:paraId="62414564" w14:textId="77777777" w:rsidR="00852513" w:rsidRPr="00852513" w:rsidRDefault="00572AD5" w:rsidP="00852513">
      <w:pPr>
        <w:pStyle w:val="ListParagraph"/>
        <w:numPr>
          <w:ilvl w:val="0"/>
          <w:numId w:val="4"/>
        </w:numPr>
        <w:autoSpaceDE w:val="0"/>
        <w:autoSpaceDN w:val="0"/>
        <w:adjustRightInd w:val="0"/>
        <w:rPr>
          <w:rFonts w:ascii="Calibri" w:hAnsi="Calibri" w:cs="Calibri"/>
          <w:b/>
          <w:bCs/>
          <w:lang w:val="en-GB"/>
        </w:rPr>
      </w:pPr>
      <w:r w:rsidRPr="00572AD5">
        <w:rPr>
          <w:rFonts w:ascii="Calibri" w:hAnsi="Calibri" w:cs="Calibri"/>
          <w:b/>
          <w:bCs/>
          <w:lang w:val="en-GB"/>
        </w:rPr>
        <w:t>Measure CYC1 – GDA Cycle Network</w:t>
      </w:r>
      <w:r w:rsidR="00852513">
        <w:rPr>
          <w:rFonts w:ascii="Calibri" w:hAnsi="Calibri" w:cs="Calibri"/>
          <w:b/>
          <w:bCs/>
          <w:lang w:val="en-GB"/>
        </w:rPr>
        <w:t xml:space="preserve">: </w:t>
      </w:r>
      <w:r w:rsidRPr="00852513">
        <w:rPr>
          <w:rFonts w:ascii="Calibri" w:hAnsi="Calibri" w:cs="Calibri"/>
          <w:lang w:val="en-GB"/>
        </w:rPr>
        <w:t xml:space="preserve">"It is the intention of the NTA and the local authorities to deliver a safe, comprehensive, </w:t>
      </w:r>
      <w:r w:rsidRPr="00852513">
        <w:rPr>
          <w:rFonts w:ascii="Calibri" w:hAnsi="Calibri" w:cs="Calibri"/>
          <w:b/>
          <w:bCs/>
          <w:color w:val="FF0000"/>
          <w:lang w:val="en-GB"/>
        </w:rPr>
        <w:t>fully connected,</w:t>
      </w:r>
      <w:r w:rsidRPr="00852513">
        <w:rPr>
          <w:rFonts w:ascii="Calibri" w:hAnsi="Calibri" w:cs="Calibri"/>
          <w:lang w:val="en-GB"/>
        </w:rPr>
        <w:t xml:space="preserve"> attractive and legible cycle network in accordance with the updated Greater Dublin Area Cycle Network.</w:t>
      </w:r>
    </w:p>
    <w:p w14:paraId="57FAF90C" w14:textId="77777777" w:rsidR="00852513" w:rsidRDefault="00852513" w:rsidP="00852513">
      <w:pPr>
        <w:pStyle w:val="ListParagraph"/>
        <w:autoSpaceDE w:val="0"/>
        <w:autoSpaceDN w:val="0"/>
        <w:adjustRightInd w:val="0"/>
        <w:ind w:left="360"/>
        <w:rPr>
          <w:rFonts w:ascii="Calibri" w:hAnsi="Calibri" w:cs="Calibri"/>
          <w:lang w:val="en-GB"/>
        </w:rPr>
      </w:pPr>
    </w:p>
    <w:p w14:paraId="17ACC583" w14:textId="77777777" w:rsidR="00C8797A" w:rsidRDefault="00572AD5" w:rsidP="00C8797A">
      <w:pPr>
        <w:pStyle w:val="ListParagraph"/>
        <w:autoSpaceDE w:val="0"/>
        <w:autoSpaceDN w:val="0"/>
        <w:adjustRightInd w:val="0"/>
        <w:ind w:left="360"/>
        <w:rPr>
          <w:rFonts w:ascii="Calibri" w:hAnsi="Calibri" w:cs="Calibri"/>
          <w:lang w:val="en-GB"/>
        </w:rPr>
      </w:pPr>
      <w:r w:rsidRPr="00852513">
        <w:rPr>
          <w:rFonts w:ascii="Calibri" w:hAnsi="Calibri" w:cs="Calibri"/>
          <w:lang w:val="en-GB"/>
        </w:rPr>
        <w:t>The "network" such as it can be said to exist is completely piecemeal and disconnected. Any network must be fully connected. This needs to be built into the design. Cycling any distance in Dublin can only be done by expert road users - certainly not children, the elderly, or anyone with accessibility needs.</w:t>
      </w:r>
    </w:p>
    <w:p w14:paraId="60E5D2F5" w14:textId="77777777" w:rsidR="00C8797A" w:rsidRDefault="00C8797A" w:rsidP="00C8797A">
      <w:pPr>
        <w:pStyle w:val="ListParagraph"/>
        <w:autoSpaceDE w:val="0"/>
        <w:autoSpaceDN w:val="0"/>
        <w:adjustRightInd w:val="0"/>
        <w:ind w:left="360"/>
        <w:rPr>
          <w:rFonts w:ascii="Calibri" w:hAnsi="Calibri" w:cs="Calibri"/>
          <w:lang w:val="en-GB"/>
        </w:rPr>
      </w:pPr>
    </w:p>
    <w:p w14:paraId="5098D6C9" w14:textId="05C526D0" w:rsidR="00C8797A" w:rsidRPr="002318F1" w:rsidRDefault="00C8797A" w:rsidP="002318F1">
      <w:pPr>
        <w:pStyle w:val="ListParagraph"/>
        <w:autoSpaceDE w:val="0"/>
        <w:autoSpaceDN w:val="0"/>
        <w:adjustRightInd w:val="0"/>
        <w:ind w:left="360"/>
        <w:rPr>
          <w:rFonts w:ascii="Calibri" w:hAnsi="Calibri" w:cs="Calibri"/>
          <w:lang w:val="en-GB"/>
        </w:rPr>
      </w:pPr>
      <w:r>
        <w:rPr>
          <w:lang w:val="en-GB"/>
        </w:rPr>
        <w:t xml:space="preserve"> </w:t>
      </w:r>
      <w:r w:rsidR="002318F1">
        <w:rPr>
          <w:lang w:val="en-GB"/>
        </w:rPr>
        <w:t xml:space="preserve">The draft strategy states: </w:t>
      </w:r>
      <w:r>
        <w:rPr>
          <w:lang w:val="en-GB"/>
        </w:rPr>
        <w:t xml:space="preserve">“It is the intention of the NTA and the local authorities to deliver a safe, comprehensive,  attractive and legible cycle network in accordance with the updated </w:t>
      </w:r>
      <w:r>
        <w:rPr>
          <w:lang w:val="en-GB"/>
        </w:rPr>
        <w:lastRenderedPageBreak/>
        <w:t>Greater Dublin Area Cycle Network”.</w:t>
      </w:r>
      <w:r w:rsidR="000A051C">
        <w:rPr>
          <w:lang w:val="en-GB"/>
        </w:rPr>
        <w:t xml:space="preserve">  </w:t>
      </w:r>
      <w:r>
        <w:rPr>
          <w:lang w:val="en-GB"/>
        </w:rPr>
        <w:t>Trinity would like to see a timeframe for the different elements of this network and a funding stream clearly set out.</w:t>
      </w:r>
    </w:p>
    <w:p w14:paraId="215BB5D2" w14:textId="77777777" w:rsidR="00C8797A" w:rsidRPr="0043228C" w:rsidRDefault="00C8797A" w:rsidP="0043228C">
      <w:pPr>
        <w:pStyle w:val="ListParagraph"/>
        <w:autoSpaceDE w:val="0"/>
        <w:autoSpaceDN w:val="0"/>
        <w:adjustRightInd w:val="0"/>
        <w:ind w:left="360"/>
        <w:rPr>
          <w:rFonts w:ascii="Calibri" w:hAnsi="Calibri" w:cs="Calibri"/>
          <w:lang w:val="en-GB"/>
        </w:rPr>
      </w:pPr>
    </w:p>
    <w:p w14:paraId="0F0FE3F0" w14:textId="77777777" w:rsidR="0043228C" w:rsidRPr="0043228C" w:rsidRDefault="00572AD5" w:rsidP="0043228C">
      <w:pPr>
        <w:pStyle w:val="ListParagraph"/>
        <w:numPr>
          <w:ilvl w:val="0"/>
          <w:numId w:val="4"/>
        </w:numPr>
        <w:autoSpaceDE w:val="0"/>
        <w:autoSpaceDN w:val="0"/>
        <w:adjustRightInd w:val="0"/>
        <w:rPr>
          <w:rFonts w:ascii="Calibri" w:hAnsi="Calibri" w:cs="Calibri"/>
          <w:b/>
          <w:bCs/>
          <w:lang w:val="en-GB"/>
        </w:rPr>
      </w:pPr>
      <w:r w:rsidRPr="00572AD5">
        <w:rPr>
          <w:rFonts w:ascii="Calibri" w:hAnsi="Calibri" w:cs="Calibri"/>
          <w:b/>
          <w:bCs/>
          <w:lang w:val="en-GB"/>
        </w:rPr>
        <w:t>Measure CYC2 – Cycle Infrastructure Design</w:t>
      </w:r>
      <w:r w:rsidR="0043228C">
        <w:rPr>
          <w:rFonts w:ascii="Calibri" w:hAnsi="Calibri" w:cs="Calibri"/>
          <w:b/>
          <w:bCs/>
          <w:lang w:val="en-GB"/>
        </w:rPr>
        <w:t xml:space="preserve">:  </w:t>
      </w:r>
      <w:r w:rsidRPr="0043228C">
        <w:rPr>
          <w:rFonts w:ascii="Calibri" w:hAnsi="Calibri" w:cs="Calibri"/>
          <w:lang w:val="en-GB"/>
        </w:rPr>
        <w:t>"It is the intention of the NTA to ensure that cycle infrastructure in the GDA provides an appropriate quality of service to all users, through the implementation of the design guidance contained in the latest version of the National Cycle Manual."</w:t>
      </w:r>
      <w:r w:rsidR="00316674" w:rsidRPr="0043228C">
        <w:rPr>
          <w:rFonts w:ascii="Calibri" w:hAnsi="Calibri" w:cs="Calibri"/>
          <w:lang w:val="en-GB"/>
        </w:rPr>
        <w:t xml:space="preserve">  </w:t>
      </w:r>
      <w:r w:rsidRPr="0043228C">
        <w:rPr>
          <w:rFonts w:ascii="Calibri" w:hAnsi="Calibri" w:cs="Calibri"/>
          <w:lang w:val="en-GB"/>
        </w:rPr>
        <w:t xml:space="preserve">The National Cycle Manual contains guidelines that are out of step with international best practice, resulting in unsafe infrastructure being implemented - which is counterproductive and an enormous waste of money. </w:t>
      </w:r>
    </w:p>
    <w:p w14:paraId="2048869F" w14:textId="77777777" w:rsidR="0043228C" w:rsidRPr="0043228C" w:rsidRDefault="0043228C" w:rsidP="0043228C">
      <w:pPr>
        <w:pStyle w:val="ListParagraph"/>
        <w:autoSpaceDE w:val="0"/>
        <w:autoSpaceDN w:val="0"/>
        <w:adjustRightInd w:val="0"/>
        <w:ind w:left="360"/>
        <w:rPr>
          <w:rFonts w:ascii="Calibri" w:hAnsi="Calibri" w:cs="Calibri"/>
          <w:b/>
          <w:bCs/>
          <w:lang w:val="en-GB"/>
        </w:rPr>
      </w:pPr>
    </w:p>
    <w:p w14:paraId="537EA15D" w14:textId="2B32761A" w:rsidR="0043228C" w:rsidRDefault="00572AD5" w:rsidP="0043228C">
      <w:pPr>
        <w:pStyle w:val="ListParagraph"/>
        <w:autoSpaceDE w:val="0"/>
        <w:autoSpaceDN w:val="0"/>
        <w:adjustRightInd w:val="0"/>
        <w:ind w:left="360"/>
        <w:rPr>
          <w:rFonts w:ascii="Calibri" w:hAnsi="Calibri" w:cs="Calibri"/>
          <w:lang w:val="en-GB"/>
        </w:rPr>
      </w:pPr>
      <w:r w:rsidRPr="0043228C">
        <w:rPr>
          <w:rFonts w:ascii="Calibri" w:hAnsi="Calibri" w:cs="Calibri"/>
          <w:lang w:val="en-GB"/>
        </w:rPr>
        <w:t>In revising the manual, the NTA must attend to the best international examples of cycle design, including:</w:t>
      </w:r>
      <w:r w:rsidR="00316674" w:rsidRPr="0043228C">
        <w:rPr>
          <w:rFonts w:ascii="Calibri" w:hAnsi="Calibri" w:cs="Calibri"/>
          <w:lang w:val="en-GB"/>
        </w:rPr>
        <w:t xml:space="preserve">  </w:t>
      </w:r>
      <w:hyperlink r:id="rId13" w:history="1">
        <w:r w:rsidR="00316674" w:rsidRPr="0043228C">
          <w:rPr>
            <w:rStyle w:val="Hyperlink"/>
            <w:rFonts w:ascii="Calibri" w:hAnsi="Calibri" w:cs="Calibri"/>
            <w:lang w:val="en-GB"/>
          </w:rPr>
          <w:t>https://www.sustrans.org.uk/for-professionals/infrastructure/walking-and-cycling-infrastructure-design-guidance</w:t>
        </w:r>
      </w:hyperlink>
      <w:r w:rsidRPr="0043228C">
        <w:rPr>
          <w:rFonts w:ascii="Calibri" w:hAnsi="Calibri" w:cs="Calibri"/>
          <w:lang w:val="en-GB"/>
        </w:rPr>
        <w:t xml:space="preserve">  </w:t>
      </w:r>
      <w:hyperlink r:id="rId14" w:history="1">
        <w:r w:rsidRPr="0043228C">
          <w:rPr>
            <w:rStyle w:val="Hyperlink"/>
            <w:rFonts w:ascii="Calibri" w:hAnsi="Calibri" w:cs="Calibri"/>
            <w:lang w:val="en-GB"/>
          </w:rPr>
          <w:t>https://dutchcycling.nl/en/news/blog/5-design-principles-for-successful-bicycle-infrastructure</w:t>
        </w:r>
      </w:hyperlink>
      <w:r w:rsidRPr="0043228C">
        <w:rPr>
          <w:rFonts w:ascii="Calibri" w:hAnsi="Calibri" w:cs="Calibri"/>
          <w:lang w:val="en-GB"/>
        </w:rPr>
        <w:t xml:space="preserve"> </w:t>
      </w:r>
    </w:p>
    <w:p w14:paraId="49E990EC" w14:textId="77777777" w:rsidR="00644A9A" w:rsidRPr="0043228C" w:rsidRDefault="00644A9A" w:rsidP="0043228C">
      <w:pPr>
        <w:pStyle w:val="ListParagraph"/>
        <w:autoSpaceDE w:val="0"/>
        <w:autoSpaceDN w:val="0"/>
        <w:adjustRightInd w:val="0"/>
        <w:ind w:left="360"/>
        <w:rPr>
          <w:rFonts w:ascii="Calibri" w:hAnsi="Calibri" w:cs="Calibri"/>
          <w:lang w:val="en-GB"/>
        </w:rPr>
      </w:pPr>
    </w:p>
    <w:p w14:paraId="7D8B2A5F" w14:textId="5DAF8F53" w:rsidR="00D92854" w:rsidRPr="00292568" w:rsidRDefault="007B5E69" w:rsidP="007B5E69">
      <w:pPr>
        <w:pStyle w:val="ListParagraph"/>
        <w:numPr>
          <w:ilvl w:val="0"/>
          <w:numId w:val="4"/>
        </w:numPr>
        <w:rPr>
          <w:b/>
          <w:bCs/>
          <w:lang w:val="en-GB"/>
        </w:rPr>
      </w:pPr>
      <w:r w:rsidRPr="007B5E69">
        <w:rPr>
          <w:b/>
          <w:bCs/>
          <w:lang w:val="en-GB"/>
        </w:rPr>
        <w:t>11.4 Cycle infrastructure design</w:t>
      </w:r>
      <w:r>
        <w:rPr>
          <w:b/>
          <w:bCs/>
          <w:lang w:val="en-GB"/>
        </w:rPr>
        <w:t xml:space="preserve">: </w:t>
      </w:r>
      <w:r>
        <w:rPr>
          <w:lang w:val="en-GB"/>
        </w:rPr>
        <w:t>Trinity welcomes the focus on gender</w:t>
      </w:r>
      <w:r w:rsidR="00BA4C99">
        <w:rPr>
          <w:lang w:val="en-GB"/>
        </w:rPr>
        <w:t xml:space="preserve"> but is disappointed by the </w:t>
      </w:r>
      <w:r w:rsidR="00FE76D6">
        <w:rPr>
          <w:lang w:val="en-GB"/>
        </w:rPr>
        <w:t xml:space="preserve">lack of specific details on cycle infrastructure design.  </w:t>
      </w:r>
      <w:r w:rsidR="00EB6EBA">
        <w:rPr>
          <w:lang w:val="en-GB"/>
        </w:rPr>
        <w:t xml:space="preserve">The </w:t>
      </w:r>
      <w:r w:rsidR="00FE76D6">
        <w:rPr>
          <w:lang w:val="en-GB"/>
        </w:rPr>
        <w:t xml:space="preserve">document refers to personal security concerns </w:t>
      </w:r>
      <w:r w:rsidR="00EB6EBA">
        <w:rPr>
          <w:lang w:val="en-GB"/>
        </w:rPr>
        <w:t xml:space="preserve">on green ways but does not refer to </w:t>
      </w:r>
      <w:r w:rsidR="00FE76D6">
        <w:rPr>
          <w:lang w:val="en-GB"/>
        </w:rPr>
        <w:t xml:space="preserve">personal safety </w:t>
      </w:r>
      <w:r w:rsidR="00EB6EBA">
        <w:rPr>
          <w:lang w:val="en-GB"/>
        </w:rPr>
        <w:t xml:space="preserve">concerns while commuting, a concern regularly raised by women and men in </w:t>
      </w:r>
      <w:r w:rsidR="00450D65">
        <w:rPr>
          <w:lang w:val="en-GB"/>
        </w:rPr>
        <w:t>Trinity</w:t>
      </w:r>
      <w:r w:rsidR="00EB6EBA">
        <w:rPr>
          <w:lang w:val="en-GB"/>
        </w:rPr>
        <w:t xml:space="preserve">.  Trinity asks the NTA to focus on making commuting by bike safe for all as a matter of urgency.  </w:t>
      </w:r>
    </w:p>
    <w:p w14:paraId="4B34A124" w14:textId="77777777" w:rsidR="00235BF0" w:rsidRDefault="00235BF0" w:rsidP="00235BF0">
      <w:pPr>
        <w:pStyle w:val="ListParagraph"/>
        <w:ind w:left="360"/>
        <w:rPr>
          <w:lang w:val="en-GB"/>
        </w:rPr>
      </w:pPr>
    </w:p>
    <w:p w14:paraId="50A4E7C1" w14:textId="595FCC7C" w:rsidR="00292568" w:rsidRPr="00352A8E" w:rsidRDefault="00292568" w:rsidP="00235BF0">
      <w:pPr>
        <w:pStyle w:val="ListParagraph"/>
        <w:ind w:left="360"/>
        <w:rPr>
          <w:lang w:val="en-GB"/>
        </w:rPr>
      </w:pPr>
      <w:r w:rsidRPr="001314CE">
        <w:rPr>
          <w:lang w:val="en-GB"/>
        </w:rPr>
        <w:t>Trinity asks the NTA to review</w:t>
      </w:r>
      <w:r w:rsidR="00712002">
        <w:rPr>
          <w:lang w:val="en-GB"/>
        </w:rPr>
        <w:t xml:space="preserve"> and respond to</w:t>
      </w:r>
      <w:r w:rsidRPr="001314CE">
        <w:rPr>
          <w:lang w:val="en-GB"/>
        </w:rPr>
        <w:t xml:space="preserve"> </w:t>
      </w:r>
      <w:r w:rsidR="001314CE">
        <w:rPr>
          <w:lang w:val="en-GB"/>
        </w:rPr>
        <w:t xml:space="preserve">our </w:t>
      </w:r>
      <w:r w:rsidR="00712002">
        <w:rPr>
          <w:lang w:val="en-GB"/>
        </w:rPr>
        <w:t xml:space="preserve">cycling injury </w:t>
      </w:r>
      <w:r w:rsidR="001314CE">
        <w:rPr>
          <w:lang w:val="en-GB"/>
        </w:rPr>
        <w:t xml:space="preserve">research, </w:t>
      </w:r>
      <w:hyperlink r:id="rId15" w:history="1">
        <w:r w:rsidR="001314CE" w:rsidRPr="00712002">
          <w:rPr>
            <w:rStyle w:val="Hyperlink"/>
            <w:lang w:val="en-GB"/>
          </w:rPr>
          <w:t>link here</w:t>
        </w:r>
      </w:hyperlink>
      <w:r w:rsidR="001314CE">
        <w:rPr>
          <w:lang w:val="en-GB"/>
        </w:rPr>
        <w:t xml:space="preserve"> which found that, </w:t>
      </w:r>
      <w:r w:rsidR="001314CE" w:rsidRPr="001314CE">
        <w:rPr>
          <w:i/>
          <w:iCs/>
          <w:lang w:val="en-GB"/>
        </w:rPr>
        <w:t>“</w:t>
      </w:r>
      <w:r w:rsidR="001314CE" w:rsidRPr="001314CE">
        <w:rPr>
          <w:i/>
          <w:iCs/>
        </w:rPr>
        <w:t>side to side impacts, impacts between the front of the cyclist/bicycle and the side of the vehicle, and impacts with open(</w:t>
      </w:r>
      <w:proofErr w:type="spellStart"/>
      <w:r w:rsidR="001314CE" w:rsidRPr="001314CE">
        <w:rPr>
          <w:i/>
          <w:iCs/>
        </w:rPr>
        <w:t>ing</w:t>
      </w:r>
      <w:proofErr w:type="spellEnd"/>
      <w:r w:rsidR="001314CE" w:rsidRPr="001314CE">
        <w:rPr>
          <w:i/>
          <w:iCs/>
        </w:rPr>
        <w:t>) doors emerge as important impact configurations with the inclusion of self-reported cases. For single cyclist collisions, the importance of loss of traction of the tyres due to slippery road conditions and interactions with tram tracks and kerbs are emphasised.</w:t>
      </w:r>
      <w:r w:rsidR="001314CE" w:rsidRPr="001314CE">
        <w:rPr>
          <w:i/>
          <w:iCs/>
          <w:lang w:val="en-GB"/>
        </w:rPr>
        <w:t>”</w:t>
      </w:r>
    </w:p>
    <w:p w14:paraId="2AAD09A2" w14:textId="77777777" w:rsidR="00235BF0" w:rsidRDefault="00235BF0" w:rsidP="00235BF0">
      <w:pPr>
        <w:pStyle w:val="ListParagraph"/>
        <w:ind w:left="360"/>
        <w:rPr>
          <w:lang w:val="en-GB"/>
        </w:rPr>
      </w:pPr>
    </w:p>
    <w:p w14:paraId="253B3050" w14:textId="3D16B1BA" w:rsidR="00352A8E" w:rsidRPr="001314CE" w:rsidRDefault="00352A8E" w:rsidP="00235BF0">
      <w:pPr>
        <w:pStyle w:val="ListParagraph"/>
        <w:ind w:left="360"/>
        <w:rPr>
          <w:lang w:val="en-GB"/>
        </w:rPr>
      </w:pPr>
      <w:r>
        <w:rPr>
          <w:lang w:val="en-GB"/>
        </w:rPr>
        <w:t xml:space="preserve">Trinity would like to see </w:t>
      </w:r>
      <w:r w:rsidR="007A10AF">
        <w:rPr>
          <w:lang w:val="en-GB"/>
        </w:rPr>
        <w:t>rail groove composite inserts at Luas track crossing-points to make it safer for cyclists to cross the tracks - at College Green, in particular</w:t>
      </w:r>
    </w:p>
    <w:p w14:paraId="7094E39C" w14:textId="77777777" w:rsidR="00235BF0" w:rsidRDefault="00235BF0" w:rsidP="00235BF0">
      <w:pPr>
        <w:pStyle w:val="ListParagraph"/>
        <w:ind w:left="360"/>
        <w:rPr>
          <w:lang w:val="en-GB"/>
        </w:rPr>
      </w:pPr>
    </w:p>
    <w:p w14:paraId="53C3CEB3" w14:textId="644894C8" w:rsidR="00270359" w:rsidRDefault="00201918" w:rsidP="00235BF0">
      <w:pPr>
        <w:pStyle w:val="ListParagraph"/>
        <w:ind w:left="360"/>
        <w:rPr>
          <w:lang w:val="en-GB"/>
        </w:rPr>
      </w:pPr>
      <w:r w:rsidRPr="00201918">
        <w:rPr>
          <w:lang w:val="en-GB"/>
        </w:rPr>
        <w:t>There are opportunities to identify safe, secure, and sheltered bicycle parking within the Strategy. It appears missing throughout.</w:t>
      </w:r>
    </w:p>
    <w:p w14:paraId="4F80A1CF" w14:textId="14CC6449" w:rsidR="00854DF5" w:rsidRDefault="00854DF5" w:rsidP="00235BF0">
      <w:pPr>
        <w:pStyle w:val="ListParagraph"/>
        <w:ind w:left="360"/>
        <w:rPr>
          <w:lang w:val="en-GB"/>
        </w:rPr>
      </w:pPr>
    </w:p>
    <w:p w14:paraId="002FEF15" w14:textId="4409C92F" w:rsidR="00854DF5" w:rsidRDefault="00854DF5" w:rsidP="00235BF0">
      <w:pPr>
        <w:pStyle w:val="ListParagraph"/>
        <w:ind w:left="360"/>
        <w:rPr>
          <w:lang w:val="en-GB"/>
        </w:rPr>
      </w:pPr>
      <w:r>
        <w:rPr>
          <w:lang w:val="en-GB"/>
        </w:rPr>
        <w:t xml:space="preserve">Trinity notes that the Netherlands has installed a rainbow cycle lane. </w:t>
      </w:r>
      <w:hyperlink r:id="rId16" w:history="1">
        <w:r w:rsidRPr="00E869D3">
          <w:rPr>
            <w:rStyle w:val="Hyperlink"/>
            <w:lang w:val="en-GB"/>
          </w:rPr>
          <w:t>https://nltimes.nl/2021/06/09/video-utrecht-get-worlds-longest-rainbow-bike-path</w:t>
        </w:r>
      </w:hyperlink>
      <w:r w:rsidRPr="00854DF5">
        <w:rPr>
          <w:lang w:val="en-GB"/>
        </w:rPr>
        <w:t xml:space="preserve"> </w:t>
      </w:r>
      <w:r>
        <w:rPr>
          <w:lang w:val="en-GB"/>
        </w:rPr>
        <w:t xml:space="preserve"> Could Dublin have similar?</w:t>
      </w:r>
    </w:p>
    <w:p w14:paraId="0BCEF65E" w14:textId="77777777" w:rsidR="00235BF0" w:rsidRPr="00235BF0" w:rsidRDefault="00235BF0" w:rsidP="00235BF0">
      <w:pPr>
        <w:pStyle w:val="ListParagraph"/>
        <w:ind w:left="360"/>
        <w:rPr>
          <w:lang w:val="en-GB"/>
        </w:rPr>
      </w:pPr>
    </w:p>
    <w:p w14:paraId="2533990D" w14:textId="77777777" w:rsidR="00E60224" w:rsidRDefault="00270359" w:rsidP="00E60224">
      <w:pPr>
        <w:pStyle w:val="ListParagraph"/>
        <w:ind w:left="360"/>
        <w:rPr>
          <w:rFonts w:eastAsia="Times New Roman"/>
          <w:sz w:val="24"/>
          <w:szCs w:val="24"/>
        </w:rPr>
      </w:pPr>
      <w:r w:rsidRPr="009A73C2">
        <w:rPr>
          <w:b/>
          <w:bCs/>
          <w:lang w:val="en-GB"/>
        </w:rPr>
        <w:t>Page 97:</w:t>
      </w:r>
      <w:r w:rsidRPr="00270359">
        <w:rPr>
          <w:lang w:val="en-GB"/>
        </w:rPr>
        <w:t xml:space="preserve"> </w:t>
      </w:r>
      <w:r w:rsidRPr="00930FD1">
        <w:rPr>
          <w:lang w:val="en-GB"/>
        </w:rPr>
        <w:t xml:space="preserve">Why is 12% the projected total mode share </w:t>
      </w:r>
      <w:r w:rsidR="009A73C2">
        <w:rPr>
          <w:lang w:val="en-GB"/>
        </w:rPr>
        <w:t xml:space="preserve">for bicycles </w:t>
      </w:r>
      <w:r w:rsidRPr="00930FD1">
        <w:rPr>
          <w:lang w:val="en-GB"/>
        </w:rPr>
        <w:t xml:space="preserve">by 2042? </w:t>
      </w:r>
      <w:r w:rsidR="00930FD1">
        <w:rPr>
          <w:lang w:val="en-GB"/>
        </w:rPr>
        <w:t>It would be useful to hear</w:t>
      </w:r>
      <w:r w:rsidRPr="00930FD1">
        <w:rPr>
          <w:lang w:val="en-GB"/>
        </w:rPr>
        <w:t xml:space="preserve"> from researchers on the appropriateness of this figure and how it is presented. Should there be targeted areas for mode shift (e.g. increased % tied to equity or equality elements) rather than the general number for across Dublin?  Is the figure appropriate or too conservative?</w:t>
      </w:r>
      <w:r w:rsidRPr="00270359">
        <w:rPr>
          <w:rFonts w:eastAsia="Times New Roman"/>
          <w:sz w:val="24"/>
          <w:szCs w:val="24"/>
        </w:rPr>
        <w:t xml:space="preserve">  </w:t>
      </w:r>
    </w:p>
    <w:p w14:paraId="1209D39D" w14:textId="77777777" w:rsidR="00E60224" w:rsidRDefault="00E60224" w:rsidP="00E60224">
      <w:pPr>
        <w:pStyle w:val="ListParagraph"/>
        <w:ind w:left="360"/>
        <w:rPr>
          <w:lang w:val="en-GB"/>
        </w:rPr>
      </w:pPr>
    </w:p>
    <w:p w14:paraId="7096C83B" w14:textId="445DDB15" w:rsidR="00E60224" w:rsidRPr="00A6136F" w:rsidRDefault="00E60224" w:rsidP="00A6136F">
      <w:pPr>
        <w:pStyle w:val="ListParagraph"/>
        <w:ind w:left="360"/>
        <w:rPr>
          <w:rFonts w:eastAsia="Times New Roman"/>
          <w:sz w:val="24"/>
          <w:szCs w:val="24"/>
        </w:rPr>
      </w:pPr>
      <w:r>
        <w:rPr>
          <w:lang w:val="en-GB"/>
        </w:rPr>
        <w:t>Trinity would like to see a revision of the National Cycle Manual (NCM) in tandem with Design Manual for Urban Roads &amp; Streets (DMURS) &amp; Transport Infrastructure Ireland (TII) design manuals/guidance in relation to provision for cycling. Each guidance manual should be singing-from-same-hymn sheet!</w:t>
      </w:r>
      <w:r w:rsidR="00A6136F">
        <w:rPr>
          <w:lang w:val="en-GB"/>
        </w:rPr>
        <w:t xml:space="preserve">  </w:t>
      </w:r>
      <w:r>
        <w:rPr>
          <w:lang w:val="en-GB"/>
        </w:rPr>
        <w:t xml:space="preserve">Design of cycle tracks must be suitable for the wide range of types of </w:t>
      </w:r>
      <w:r>
        <w:rPr>
          <w:lang w:val="en-GB"/>
        </w:rPr>
        <w:lastRenderedPageBreak/>
        <w:t xml:space="preserve">bicycle, e-scooters and mobility-aids in use these days – </w:t>
      </w:r>
      <w:proofErr w:type="spellStart"/>
      <w:r>
        <w:rPr>
          <w:lang w:val="en-GB"/>
        </w:rPr>
        <w:t>cargobikes</w:t>
      </w:r>
      <w:proofErr w:type="spellEnd"/>
      <w:r>
        <w:rPr>
          <w:lang w:val="en-GB"/>
        </w:rPr>
        <w:t>, handcycles, standard bicycles with big boxes on front/rear carriers, etc.</w:t>
      </w:r>
    </w:p>
    <w:p w14:paraId="01A67497" w14:textId="77777777" w:rsidR="00E60224" w:rsidRDefault="00E60224" w:rsidP="00235BF0">
      <w:pPr>
        <w:pStyle w:val="ListParagraph"/>
        <w:ind w:left="360"/>
        <w:rPr>
          <w:rFonts w:eastAsia="Times New Roman"/>
          <w:sz w:val="24"/>
          <w:szCs w:val="24"/>
        </w:rPr>
      </w:pPr>
    </w:p>
    <w:p w14:paraId="073DA909" w14:textId="77777777" w:rsidR="00235BF0" w:rsidRPr="005570F9" w:rsidRDefault="00235BF0" w:rsidP="00235BF0">
      <w:pPr>
        <w:pStyle w:val="ListParagraph"/>
        <w:ind w:left="360"/>
        <w:rPr>
          <w:lang w:val="en-GB"/>
        </w:rPr>
      </w:pPr>
    </w:p>
    <w:p w14:paraId="10420201" w14:textId="7B3E4282" w:rsidR="005570F9" w:rsidRPr="00BB3569" w:rsidRDefault="005570F9" w:rsidP="005570F9">
      <w:pPr>
        <w:pStyle w:val="ListParagraph"/>
        <w:numPr>
          <w:ilvl w:val="0"/>
          <w:numId w:val="4"/>
        </w:numPr>
        <w:rPr>
          <w:lang w:val="en-GB"/>
        </w:rPr>
      </w:pPr>
      <w:r w:rsidRPr="005570F9">
        <w:rPr>
          <w:rFonts w:ascii="Calibri" w:hAnsi="Calibri" w:cs="Calibri"/>
          <w:b/>
          <w:bCs/>
          <w:lang w:val="en-GB"/>
        </w:rPr>
        <w:t>11.5 Cycle Parking</w:t>
      </w:r>
      <w:r>
        <w:rPr>
          <w:rFonts w:ascii="Calibri" w:hAnsi="Calibri" w:cs="Calibri"/>
          <w:b/>
          <w:bCs/>
          <w:lang w:val="en-GB"/>
        </w:rPr>
        <w:t xml:space="preserve">: </w:t>
      </w:r>
      <w:r w:rsidRPr="005570F9">
        <w:rPr>
          <w:rFonts w:ascii="Calibri" w:hAnsi="Calibri" w:cs="Calibri"/>
          <w:lang w:val="en-GB"/>
        </w:rPr>
        <w:t xml:space="preserve">A reduction in car dominance and genuine effort to reduce car use requires that cycle parking, along with car parking for individuals with accessibility needs, should be prioritised. </w:t>
      </w:r>
      <w:r>
        <w:rPr>
          <w:rFonts w:ascii="Calibri" w:hAnsi="Calibri" w:cs="Calibri"/>
          <w:lang w:val="en-GB"/>
        </w:rPr>
        <w:t xml:space="preserve">  </w:t>
      </w:r>
      <w:r w:rsidRPr="005570F9">
        <w:rPr>
          <w:rFonts w:ascii="Calibri" w:hAnsi="Calibri" w:cs="Calibri"/>
          <w:lang w:val="en-GB"/>
        </w:rPr>
        <w:t>This should include parking suitable for all bikes, including cargo</w:t>
      </w:r>
      <w:r w:rsidR="00BB3569">
        <w:rPr>
          <w:rFonts w:ascii="Calibri" w:hAnsi="Calibri" w:cs="Calibri"/>
          <w:lang w:val="en-GB"/>
        </w:rPr>
        <w:t xml:space="preserve">. </w:t>
      </w:r>
    </w:p>
    <w:p w14:paraId="2D7E0888" w14:textId="77777777" w:rsidR="00724E70" w:rsidRDefault="00724E70" w:rsidP="00724E70">
      <w:pPr>
        <w:pStyle w:val="ListParagraph"/>
        <w:ind w:left="360"/>
      </w:pPr>
    </w:p>
    <w:p w14:paraId="1E8A62B3" w14:textId="165C4D30" w:rsidR="00BB3569" w:rsidRDefault="00BB3569" w:rsidP="00235BF0">
      <w:pPr>
        <w:pStyle w:val="ListParagraph"/>
        <w:ind w:left="360"/>
      </w:pPr>
      <w:r>
        <w:t xml:space="preserve">The section on </w:t>
      </w:r>
      <w:r w:rsidRPr="00BB3569">
        <w:rPr>
          <w:i/>
          <w:iCs/>
        </w:rPr>
        <w:t>Car Parking</w:t>
      </w:r>
      <w:r>
        <w:t xml:space="preserve"> (14.11) includes a section on </w:t>
      </w:r>
      <w:r w:rsidRPr="00BB3569">
        <w:rPr>
          <w:i/>
          <w:iCs/>
        </w:rPr>
        <w:t>Car Parking Standards</w:t>
      </w:r>
      <w:r>
        <w:t xml:space="preserve"> (14.11.2). In the Bicycle Parking section, an equivalent section </w:t>
      </w:r>
      <w:r w:rsidRPr="00BB3569">
        <w:rPr>
          <w:i/>
          <w:iCs/>
        </w:rPr>
        <w:t xml:space="preserve">Cycle Parking Standards </w:t>
      </w:r>
      <w:r>
        <w:t xml:space="preserve">needs to be added. </w:t>
      </w:r>
    </w:p>
    <w:p w14:paraId="0AEF530E" w14:textId="77777777" w:rsidR="001556C1" w:rsidRDefault="001556C1" w:rsidP="001556C1">
      <w:pPr>
        <w:pStyle w:val="ListParagraph"/>
      </w:pPr>
    </w:p>
    <w:p w14:paraId="37CC58F8" w14:textId="77777777" w:rsidR="00E43EB0" w:rsidRDefault="001556C1" w:rsidP="00E43EB0">
      <w:pPr>
        <w:pStyle w:val="ListParagraph"/>
        <w:ind w:left="360"/>
      </w:pPr>
      <w:r>
        <w:t xml:space="preserve">Section 11.8 recognises </w:t>
      </w:r>
      <w:proofErr w:type="spellStart"/>
      <w:r>
        <w:t>ebikes</w:t>
      </w:r>
      <w:proofErr w:type="spellEnd"/>
      <w:r>
        <w:t xml:space="preserve"> as an emerging Personal Mobility Mode and in Section 8.11 for longer trips.  In the </w:t>
      </w:r>
      <w:r w:rsidRPr="001B5168">
        <w:rPr>
          <w:i/>
          <w:iCs/>
        </w:rPr>
        <w:t>Cycle Parking Standards</w:t>
      </w:r>
      <w:r>
        <w:t xml:space="preserve"> section, specific mention needs to be made of bicycle parking for </w:t>
      </w:r>
      <w:proofErr w:type="spellStart"/>
      <w:r>
        <w:t>ebikes</w:t>
      </w:r>
      <w:proofErr w:type="spellEnd"/>
      <w:r>
        <w:t xml:space="preserve">.   As they are an electric device with a battery, much like a laptop or mobile phone, they cannot be left out all day every day in inclement weather and particularly in frost and rain. </w:t>
      </w:r>
      <w:r w:rsidR="001B5168">
        <w:t xml:space="preserve"> </w:t>
      </w:r>
      <w:r>
        <w:t>Providing sheltered facilities for cycle parking; at Park and Ride facilities, at train and Dart stations, Luas and more rural (</w:t>
      </w:r>
      <w:proofErr w:type="spellStart"/>
      <w:r>
        <w:t>Enniskerry</w:t>
      </w:r>
      <w:proofErr w:type="spellEnd"/>
      <w:r>
        <w:t xml:space="preserve"> is a great example of sheltered bike parking beside a bus stop on the edge of the village) bus stops and in urban centres, as part of a designated section on </w:t>
      </w:r>
      <w:r w:rsidRPr="001B5168">
        <w:rPr>
          <w:i/>
          <w:iCs/>
        </w:rPr>
        <w:t>Cycle Parking</w:t>
      </w:r>
      <w:r>
        <w:t xml:space="preserve"> and encouraging integrated transport choices. (and a commitment to </w:t>
      </w:r>
      <w:r w:rsidRPr="001B5168">
        <w:rPr>
          <w:i/>
          <w:iCs/>
        </w:rPr>
        <w:t>Cycle Parking Standards</w:t>
      </w:r>
      <w:r>
        <w:t>)</w:t>
      </w:r>
    </w:p>
    <w:p w14:paraId="3C7BF9E7" w14:textId="77777777" w:rsidR="00E43EB0" w:rsidRDefault="00E43EB0" w:rsidP="00E43EB0">
      <w:pPr>
        <w:pStyle w:val="ListParagraph"/>
        <w:ind w:left="360"/>
      </w:pPr>
    </w:p>
    <w:p w14:paraId="2FCEDC02" w14:textId="336B3888" w:rsidR="00E43EB0" w:rsidRPr="00BB3569" w:rsidRDefault="00E43EB0" w:rsidP="00E43EB0">
      <w:pPr>
        <w:pStyle w:val="ListParagraph"/>
        <w:ind w:left="360"/>
      </w:pPr>
      <w:r>
        <w:rPr>
          <w:lang w:val="en-GB"/>
        </w:rPr>
        <w:t>Trinity thanks the NTA for its continuing provision of funds to upgrade and expand its bike parking provision.</w:t>
      </w:r>
    </w:p>
    <w:p w14:paraId="1F908787" w14:textId="77777777" w:rsidR="00724E70" w:rsidRPr="00724E70" w:rsidRDefault="00724E70" w:rsidP="00724E70">
      <w:pPr>
        <w:pStyle w:val="ListParagraph"/>
        <w:autoSpaceDE w:val="0"/>
        <w:autoSpaceDN w:val="0"/>
        <w:adjustRightInd w:val="0"/>
        <w:ind w:left="360"/>
        <w:rPr>
          <w:rFonts w:ascii="Calibri" w:hAnsi="Calibri" w:cs="Calibri"/>
          <w:lang w:val="en-GB"/>
        </w:rPr>
      </w:pPr>
    </w:p>
    <w:p w14:paraId="0635A559" w14:textId="638A76EA" w:rsidR="00D51860" w:rsidRDefault="00D51860" w:rsidP="00D51860">
      <w:pPr>
        <w:pStyle w:val="ListParagraph"/>
        <w:numPr>
          <w:ilvl w:val="0"/>
          <w:numId w:val="4"/>
        </w:numPr>
        <w:autoSpaceDE w:val="0"/>
        <w:autoSpaceDN w:val="0"/>
        <w:adjustRightInd w:val="0"/>
        <w:rPr>
          <w:rFonts w:ascii="Calibri" w:hAnsi="Calibri" w:cs="Calibri"/>
          <w:lang w:val="en-GB"/>
        </w:rPr>
      </w:pPr>
      <w:r w:rsidRPr="00D51860">
        <w:rPr>
          <w:rFonts w:ascii="Calibri" w:hAnsi="Calibri" w:cs="Calibri"/>
          <w:b/>
          <w:bCs/>
          <w:lang w:val="en-GB"/>
        </w:rPr>
        <w:t>11.7 Bikes on Public Transport</w:t>
      </w:r>
      <w:r>
        <w:rPr>
          <w:rFonts w:ascii="Calibri" w:hAnsi="Calibri" w:cs="Calibri"/>
          <w:b/>
          <w:bCs/>
          <w:lang w:val="en-GB"/>
        </w:rPr>
        <w:t xml:space="preserve">: </w:t>
      </w:r>
      <w:r w:rsidRPr="00D51860">
        <w:rPr>
          <w:rFonts w:ascii="Calibri" w:hAnsi="Calibri" w:cs="Calibri"/>
          <w:lang w:val="en-GB"/>
        </w:rPr>
        <w:t xml:space="preserve">"As such, all Irish Rail services using newly procured fleet, including new DART fleet, will accommodate a minimum of 4 bicycles per train, in addition to an unlimited number of folding bikes." </w:t>
      </w:r>
      <w:r w:rsidRPr="0078395A">
        <w:rPr>
          <w:rFonts w:ascii="Calibri" w:hAnsi="Calibri" w:cs="Calibri"/>
          <w:lang w:val="en-GB"/>
        </w:rPr>
        <w:t>This is not enough - it should be 4 bicycles per carriage. Again, a lack of ambition.</w:t>
      </w:r>
    </w:p>
    <w:p w14:paraId="5200D522" w14:textId="77777777" w:rsidR="00235BF0" w:rsidRPr="0078395A" w:rsidRDefault="00235BF0" w:rsidP="00235BF0">
      <w:pPr>
        <w:pStyle w:val="ListParagraph"/>
        <w:autoSpaceDE w:val="0"/>
        <w:autoSpaceDN w:val="0"/>
        <w:adjustRightInd w:val="0"/>
        <w:ind w:left="360"/>
        <w:rPr>
          <w:rFonts w:ascii="Calibri" w:hAnsi="Calibri" w:cs="Calibri"/>
          <w:lang w:val="en-GB"/>
        </w:rPr>
      </w:pPr>
    </w:p>
    <w:p w14:paraId="43549666" w14:textId="77777777" w:rsidR="008F1B22" w:rsidRDefault="008F1B22" w:rsidP="008F1B22">
      <w:pPr>
        <w:pStyle w:val="ListParagraph"/>
        <w:autoSpaceDE w:val="0"/>
        <w:autoSpaceDN w:val="0"/>
        <w:adjustRightInd w:val="0"/>
        <w:ind w:left="360"/>
        <w:rPr>
          <w:rFonts w:ascii="Calibri" w:hAnsi="Calibri" w:cs="Calibri"/>
          <w:lang w:val="en-GB"/>
        </w:rPr>
      </w:pPr>
      <w:r w:rsidRPr="008F1B22">
        <w:rPr>
          <w:rFonts w:ascii="Calibri" w:hAnsi="Calibri" w:cs="Calibri"/>
          <w:lang w:val="en-GB"/>
        </w:rPr>
        <w:t>Trinity would like the NTA to</w:t>
      </w:r>
      <w:r>
        <w:rPr>
          <w:rFonts w:ascii="Calibri" w:hAnsi="Calibri" w:cs="Calibri"/>
          <w:b/>
          <w:bCs/>
          <w:lang w:val="en-GB"/>
        </w:rPr>
        <w:t xml:space="preserve"> </w:t>
      </w:r>
      <w:r>
        <w:rPr>
          <w:rFonts w:ascii="Calibri" w:hAnsi="Calibri" w:cs="Calibri"/>
          <w:lang w:val="en-GB"/>
        </w:rPr>
        <w:t>c</w:t>
      </w:r>
      <w:r w:rsidR="00D51860" w:rsidRPr="00D51860">
        <w:rPr>
          <w:rFonts w:ascii="Calibri" w:hAnsi="Calibri" w:cs="Calibri"/>
          <w:lang w:val="en-GB"/>
        </w:rPr>
        <w:t>onsider front bike racks for buses - as employed in e.g., the Pacific Northwest USA</w:t>
      </w:r>
      <w:r w:rsidR="00D51860">
        <w:rPr>
          <w:rFonts w:ascii="Calibri" w:hAnsi="Calibri" w:cs="Calibri"/>
          <w:lang w:val="en-GB"/>
        </w:rPr>
        <w:t xml:space="preserve">  </w:t>
      </w:r>
      <w:r w:rsidR="00D51860" w:rsidRPr="00D51860">
        <w:rPr>
          <w:rFonts w:ascii="Calibri" w:hAnsi="Calibri" w:cs="Calibri"/>
          <w:lang w:val="en-GB"/>
        </w:rPr>
        <w:t xml:space="preserve">e.g., </w:t>
      </w:r>
      <w:hyperlink r:id="rId17" w:history="1">
        <w:r w:rsidRPr="00E869D3">
          <w:rPr>
            <w:rStyle w:val="Hyperlink"/>
            <w:rFonts w:ascii="Calibri" w:hAnsi="Calibri" w:cs="Calibri"/>
            <w:lang w:val="en-GB"/>
          </w:rPr>
          <w:t>https://kingcounty.gov/depts/transportation/metro/travel-options/bike/loading-unloading.aspx</w:t>
        </w:r>
      </w:hyperlink>
      <w:r>
        <w:rPr>
          <w:rFonts w:ascii="Calibri" w:hAnsi="Calibri" w:cs="Calibri"/>
          <w:lang w:val="en-GB"/>
        </w:rPr>
        <w:t xml:space="preserve">  </w:t>
      </w:r>
    </w:p>
    <w:p w14:paraId="5DF407D5" w14:textId="77777777" w:rsidR="008F1B22" w:rsidRDefault="008F1B22" w:rsidP="008F1B22">
      <w:pPr>
        <w:pStyle w:val="ListParagraph"/>
        <w:autoSpaceDE w:val="0"/>
        <w:autoSpaceDN w:val="0"/>
        <w:adjustRightInd w:val="0"/>
        <w:ind w:left="360"/>
        <w:rPr>
          <w:rFonts w:ascii="Calibri" w:hAnsi="Calibri" w:cs="Calibri"/>
          <w:lang w:val="en-GB"/>
        </w:rPr>
      </w:pPr>
    </w:p>
    <w:p w14:paraId="1382A965" w14:textId="0E000B65" w:rsidR="008F1B22" w:rsidRDefault="00B54915" w:rsidP="008F1B22">
      <w:pPr>
        <w:pStyle w:val="ListParagraph"/>
        <w:autoSpaceDE w:val="0"/>
        <w:autoSpaceDN w:val="0"/>
        <w:adjustRightInd w:val="0"/>
        <w:ind w:left="360"/>
        <w:rPr>
          <w:rFonts w:ascii="Calibri" w:hAnsi="Calibri" w:cs="Calibri"/>
          <w:lang w:val="en-GB"/>
        </w:rPr>
      </w:pPr>
      <w:r>
        <w:rPr>
          <w:lang w:val="en-GB"/>
        </w:rPr>
        <w:t xml:space="preserve">The NTA states the Luas is </w:t>
      </w:r>
      <w:r>
        <w:rPr>
          <w:lang w:val="en-GB" w:eastAsia="en-IE"/>
        </w:rPr>
        <w:t xml:space="preserve">“unsuited for carriage of standard bicycles on board”.  </w:t>
      </w:r>
      <w:r>
        <w:rPr>
          <w:lang w:val="en-GB"/>
        </w:rPr>
        <w:t xml:space="preserve">Trinity does not agree </w:t>
      </w:r>
      <w:r w:rsidR="008F1B22">
        <w:rPr>
          <w:lang w:val="en-GB"/>
        </w:rPr>
        <w:t>with the NTA/TII position. We observe bikes carried on on-street tram services in cities across the EU.</w:t>
      </w:r>
      <w:r>
        <w:rPr>
          <w:lang w:val="en-GB"/>
        </w:rPr>
        <w:t xml:space="preserve">  </w:t>
      </w:r>
      <w:r w:rsidR="008F1B22">
        <w:rPr>
          <w:lang w:val="en-GB" w:eastAsia="en-IE"/>
        </w:rPr>
        <w:t>On those services there are fixings within the car or a storage area at the end of the tram set in which to store bike. Bikes are held in place using Velcro-str</w:t>
      </w:r>
      <w:r w:rsidR="00BA42EE">
        <w:rPr>
          <w:lang w:val="en-GB" w:eastAsia="en-IE"/>
        </w:rPr>
        <w:t>a</w:t>
      </w:r>
      <w:r w:rsidR="008F1B22">
        <w:rPr>
          <w:lang w:val="en-GB" w:eastAsia="en-IE"/>
        </w:rPr>
        <w:t>ps.</w:t>
      </w:r>
    </w:p>
    <w:p w14:paraId="777A7954" w14:textId="77777777" w:rsidR="008F1B22" w:rsidRPr="00D51860" w:rsidRDefault="008F1B22" w:rsidP="008F1B22">
      <w:pPr>
        <w:pStyle w:val="ListParagraph"/>
        <w:autoSpaceDE w:val="0"/>
        <w:autoSpaceDN w:val="0"/>
        <w:adjustRightInd w:val="0"/>
        <w:ind w:left="360"/>
        <w:rPr>
          <w:rFonts w:ascii="Calibri" w:hAnsi="Calibri" w:cs="Calibri"/>
          <w:lang w:val="en-GB"/>
        </w:rPr>
      </w:pPr>
    </w:p>
    <w:p w14:paraId="5146C161" w14:textId="04FD694C" w:rsidR="009A7E5E" w:rsidRPr="00235BF0" w:rsidRDefault="00296F69" w:rsidP="009A7E5E">
      <w:pPr>
        <w:pStyle w:val="ListParagraph"/>
        <w:numPr>
          <w:ilvl w:val="0"/>
          <w:numId w:val="4"/>
        </w:numPr>
        <w:autoSpaceDE w:val="0"/>
        <w:autoSpaceDN w:val="0"/>
        <w:adjustRightInd w:val="0"/>
        <w:rPr>
          <w:rFonts w:ascii="Calibri" w:hAnsi="Calibri" w:cs="Calibri"/>
          <w:b/>
          <w:bCs/>
          <w:lang w:val="en-GB"/>
        </w:rPr>
      </w:pPr>
      <w:r w:rsidRPr="00296F69">
        <w:rPr>
          <w:rFonts w:ascii="Calibri" w:hAnsi="Calibri" w:cs="Calibri"/>
          <w:b/>
          <w:bCs/>
          <w:lang w:val="en-GB"/>
        </w:rPr>
        <w:t>11.8 Emerging Personal Mobility Modes</w:t>
      </w:r>
      <w:r>
        <w:rPr>
          <w:rFonts w:ascii="Calibri" w:hAnsi="Calibri" w:cs="Calibri"/>
          <w:b/>
          <w:bCs/>
          <w:lang w:val="en-GB"/>
        </w:rPr>
        <w:t xml:space="preserve">: </w:t>
      </w:r>
      <w:r w:rsidRPr="00296F69">
        <w:rPr>
          <w:rFonts w:ascii="Calibri" w:hAnsi="Calibri" w:cs="Calibri"/>
          <w:lang w:val="en-GB"/>
        </w:rPr>
        <w:t>Cargo bikes should be included here.</w:t>
      </w:r>
    </w:p>
    <w:p w14:paraId="08BD4A53" w14:textId="77777777" w:rsidR="00235BF0" w:rsidRPr="009A7E5E" w:rsidRDefault="00235BF0" w:rsidP="00235BF0">
      <w:pPr>
        <w:pStyle w:val="ListParagraph"/>
        <w:autoSpaceDE w:val="0"/>
        <w:autoSpaceDN w:val="0"/>
        <w:adjustRightInd w:val="0"/>
        <w:ind w:left="360"/>
        <w:rPr>
          <w:rFonts w:ascii="Calibri" w:hAnsi="Calibri" w:cs="Calibri"/>
          <w:b/>
          <w:bCs/>
          <w:lang w:val="en-GB"/>
        </w:rPr>
      </w:pPr>
    </w:p>
    <w:p w14:paraId="64E71CFD" w14:textId="6A413F22" w:rsidR="00E00CB8" w:rsidRPr="00D608D7" w:rsidRDefault="009A7E5E" w:rsidP="00E00CB8">
      <w:pPr>
        <w:pStyle w:val="ListParagraph"/>
        <w:numPr>
          <w:ilvl w:val="0"/>
          <w:numId w:val="4"/>
        </w:numPr>
        <w:autoSpaceDE w:val="0"/>
        <w:autoSpaceDN w:val="0"/>
        <w:adjustRightInd w:val="0"/>
        <w:rPr>
          <w:rFonts w:ascii="Calibri" w:hAnsi="Calibri" w:cs="Calibri"/>
          <w:b/>
          <w:bCs/>
          <w:lang w:val="en-GB"/>
        </w:rPr>
      </w:pPr>
      <w:r w:rsidRPr="003863F3">
        <w:rPr>
          <w:rFonts w:ascii="Calibri" w:hAnsi="Calibri" w:cs="Calibri"/>
          <w:b/>
          <w:bCs/>
          <w:lang w:val="en-GB"/>
        </w:rPr>
        <w:t xml:space="preserve">Bike to College Scheme: </w:t>
      </w:r>
      <w:r w:rsidRPr="003863F3">
        <w:rPr>
          <w:rFonts w:ascii="Calibri" w:hAnsi="Calibri" w:cs="Calibri"/>
          <w:lang w:val="en-GB"/>
        </w:rPr>
        <w:t>Trinity</w:t>
      </w:r>
      <w:r w:rsidRPr="003863F3">
        <w:rPr>
          <w:rFonts w:ascii="Calibri" w:hAnsi="Calibri" w:cs="Calibri"/>
          <w:b/>
          <w:bCs/>
          <w:lang w:val="en-GB"/>
        </w:rPr>
        <w:t xml:space="preserve"> </w:t>
      </w:r>
      <w:r w:rsidRPr="003863F3">
        <w:rPr>
          <w:rFonts w:ascii="Calibri" w:hAnsi="Calibri" w:cs="Calibri"/>
          <w:lang w:val="en-GB"/>
        </w:rPr>
        <w:t xml:space="preserve">made a commitment in </w:t>
      </w:r>
      <w:hyperlink r:id="rId18" w:history="1">
        <w:r w:rsidRPr="003863F3">
          <w:rPr>
            <w:rStyle w:val="Hyperlink"/>
            <w:rFonts w:ascii="Calibri" w:hAnsi="Calibri" w:cs="Calibri"/>
            <w:lang w:val="en-GB"/>
          </w:rPr>
          <w:t>this submission</w:t>
        </w:r>
      </w:hyperlink>
      <w:r w:rsidRPr="003863F3">
        <w:rPr>
          <w:rFonts w:ascii="Calibri" w:hAnsi="Calibri" w:cs="Calibri"/>
          <w:lang w:val="en-GB"/>
        </w:rPr>
        <w:t xml:space="preserve"> to Dublin City Council to </w:t>
      </w:r>
      <w:r w:rsidR="00DC66E3" w:rsidRPr="003863F3">
        <w:rPr>
          <w:rFonts w:ascii="Calibri" w:hAnsi="Calibri" w:cs="Calibri"/>
          <w:lang w:val="en-GB"/>
        </w:rPr>
        <w:t xml:space="preserve">lobby for a Bike to College Scheme.  </w:t>
      </w:r>
      <w:r w:rsidR="003863F3">
        <w:rPr>
          <w:rFonts w:ascii="Calibri" w:hAnsi="Calibri" w:cs="Calibri"/>
          <w:lang w:val="en-GB"/>
        </w:rPr>
        <w:t xml:space="preserve">Trinity would like to see a Bike To College scheme for students </w:t>
      </w:r>
      <w:r w:rsidR="000B36AC">
        <w:rPr>
          <w:rFonts w:ascii="Calibri" w:hAnsi="Calibri" w:cs="Calibri"/>
          <w:lang w:val="en-GB"/>
        </w:rPr>
        <w:t xml:space="preserve">like the bike to work scheme.  Details </w:t>
      </w:r>
      <w:hyperlink r:id="rId19" w:history="1">
        <w:r w:rsidR="000B36AC" w:rsidRPr="00D608D7">
          <w:rPr>
            <w:rStyle w:val="Hyperlink"/>
            <w:rFonts w:ascii="Calibri" w:hAnsi="Calibri" w:cs="Calibri"/>
            <w:lang w:val="en-GB"/>
          </w:rPr>
          <w:t>here</w:t>
        </w:r>
      </w:hyperlink>
      <w:r w:rsidR="000B36AC">
        <w:rPr>
          <w:rFonts w:ascii="Calibri" w:hAnsi="Calibri" w:cs="Calibri"/>
          <w:lang w:val="en-GB"/>
        </w:rPr>
        <w:t xml:space="preserve">.  </w:t>
      </w:r>
    </w:p>
    <w:p w14:paraId="7855D25E" w14:textId="192B53EF" w:rsidR="00043841" w:rsidRPr="00B70296" w:rsidRDefault="00043841" w:rsidP="00480B0A">
      <w:pPr>
        <w:pStyle w:val="ListParagraph"/>
        <w:autoSpaceDE w:val="0"/>
        <w:autoSpaceDN w:val="0"/>
        <w:adjustRightInd w:val="0"/>
        <w:ind w:left="360"/>
        <w:rPr>
          <w:rFonts w:ascii="Calibri" w:hAnsi="Calibri" w:cs="Calibri"/>
          <w:lang w:val="en-GB"/>
        </w:rPr>
      </w:pPr>
    </w:p>
    <w:p w14:paraId="4E56C536" w14:textId="77777777"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study or work on our College Green Campus.  Whilst the central work of </w:t>
      </w:r>
      <w:r>
        <w:lastRenderedPageBreak/>
        <w:t>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w:t>
      </w:r>
      <w:proofErr w:type="spellStart"/>
      <w:r>
        <w:t>LiveableDublin</w:t>
      </w:r>
      <w:proofErr w:type="spellEnd"/>
      <w:r>
        <w:t xml:space="preserve">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20"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lastRenderedPageBreak/>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Figure 1. Shows how Trinity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t xml:space="preserve">Investment in bus priority and bus service improvements – </w:t>
      </w:r>
      <w:proofErr w:type="spellStart"/>
      <w:r w:rsidRPr="1FFEA2FE">
        <w:rPr>
          <w:rFonts w:ascii="Calibri" w:eastAsia="Calibri" w:hAnsi="Calibri" w:cs="Calibri"/>
        </w:rPr>
        <w:t>BusConnects</w:t>
      </w:r>
      <w:proofErr w:type="spellEnd"/>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66F3" w14:textId="77777777" w:rsidR="001273B8" w:rsidRDefault="001273B8" w:rsidP="00561F8E">
      <w:pPr>
        <w:spacing w:after="0" w:line="240" w:lineRule="auto"/>
      </w:pPr>
      <w:r>
        <w:separator/>
      </w:r>
    </w:p>
  </w:endnote>
  <w:endnote w:type="continuationSeparator" w:id="0">
    <w:p w14:paraId="3505251B" w14:textId="77777777" w:rsidR="001273B8" w:rsidRDefault="001273B8" w:rsidP="00561F8E">
      <w:pPr>
        <w:spacing w:after="0" w:line="240" w:lineRule="auto"/>
      </w:pPr>
      <w:r>
        <w:continuationSeparator/>
      </w:r>
    </w:p>
  </w:endnote>
  <w:endnote w:type="continuationNotice" w:id="1">
    <w:p w14:paraId="78E46405" w14:textId="77777777" w:rsidR="001273B8" w:rsidRDefault="00127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D5999" w14:textId="77777777" w:rsidR="001273B8" w:rsidRDefault="001273B8" w:rsidP="00561F8E">
      <w:pPr>
        <w:spacing w:after="0" w:line="240" w:lineRule="auto"/>
      </w:pPr>
      <w:r>
        <w:separator/>
      </w:r>
    </w:p>
  </w:footnote>
  <w:footnote w:type="continuationSeparator" w:id="0">
    <w:p w14:paraId="4F8E45BC" w14:textId="77777777" w:rsidR="001273B8" w:rsidRDefault="001273B8" w:rsidP="00561F8E">
      <w:pPr>
        <w:spacing w:after="0" w:line="240" w:lineRule="auto"/>
      </w:pPr>
      <w:r>
        <w:continuationSeparator/>
      </w:r>
    </w:p>
  </w:footnote>
  <w:footnote w:type="continuationNotice" w:id="1">
    <w:p w14:paraId="0E0902C8" w14:textId="77777777" w:rsidR="001273B8" w:rsidRDefault="001273B8">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273B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C08"/>
    <w:rsid w:val="00724E70"/>
    <w:rsid w:val="00725C4F"/>
    <w:rsid w:val="0073337E"/>
    <w:rsid w:val="00734C38"/>
    <w:rsid w:val="0074170D"/>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strans.org.uk/for-professionals/infrastructure/walking-and-cycling-infrastructure-design-guidance" TargetMode="External"/><Relationship Id="rId18" Type="http://schemas.openxmlformats.org/officeDocument/2006/relationships/hyperlink" Target="https://www.tcd.ie/healthytrinity/assets/documents/Covid-19/TCD%20DCC%20Covid%2019%20Submission%20Final.pdf"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s://ec.europa.eu/info/strategy/priorities-2019-2024/economy-works-people/jobs-growth-and-investment/european-pillar-social-rights/european-pillar-social-rights-20-principles_en" TargetMode="External"/><Relationship Id="rId17" Type="http://schemas.openxmlformats.org/officeDocument/2006/relationships/hyperlink" Target="https://kingcounty.gov/depts/transportation/metro/travel-options/bike/loading-unloading.aspx" TargetMode="External"/><Relationship Id="rId2" Type="http://schemas.openxmlformats.org/officeDocument/2006/relationships/numbering" Target="numbering.xml"/><Relationship Id="rId16" Type="http://schemas.openxmlformats.org/officeDocument/2006/relationships/hyperlink" Target="https://nltimes.nl/2021/06/09/video-utrecht-get-worlds-longest-rainbow-bike-path" TargetMode="External"/><Relationship Id="rId20" Type="http://schemas.openxmlformats.org/officeDocument/2006/relationships/hyperlink" Target="https://cop26cycl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com/news-and-events/news/ecf-analysis-new-european-urban-mobility-framework-major-win-cycl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direct.com/science/article/pii/S0001457521002955" TargetMode="External"/><Relationship Id="rId23" Type="http://schemas.openxmlformats.org/officeDocument/2006/relationships/fontTable" Target="fontTable.xml"/><Relationship Id="rId10" Type="http://schemas.openxmlformats.org/officeDocument/2006/relationships/hyperlink" Target="https://ecf.com/news-and-events/news/ecf-analysis-new-european-urban-mobility-framework-major-win-cycling" TargetMode="External"/><Relationship Id="rId19" Type="http://schemas.openxmlformats.org/officeDocument/2006/relationships/hyperlink" Target="https://www.tcd.ie/healthytrinity/travel/StudentBikeToCollegeScheme.php"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hyperlink" Target="https://dutchcycling.nl/en/news/blog/5-design-principles-for-successful-bicycle-infrastructur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6</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620</cp:revision>
  <dcterms:created xsi:type="dcterms:W3CDTF">2021-01-14T19:25:00Z</dcterms:created>
  <dcterms:modified xsi:type="dcterms:W3CDTF">2022-01-07T10:39:00Z</dcterms:modified>
</cp:coreProperties>
</file>